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Argentina</w:t>
      </w:r>
      <w:r>
        <w:t xml:space="preserve"> </w:t>
      </w:r>
      <w:r>
        <w:t xml:space="preserve">Córdoba</w:t>
      </w:r>
    </w:p>
    <w:bookmarkStart w:id="20" w:name="quotation-estimate"/>
    <w:p>
      <w:pPr>
        <w:pStyle w:val="Heading1"/>
      </w:pPr>
      <w:r>
        <w:t xml:space="preserve">QUOTATION ESTIMATE</w:t>
      </w:r>
    </w:p>
    <w:p>
      <w:pPr>
        <w:pStyle w:val="FirstParagraph"/>
      </w:pPr>
      <w:r>
        <w:t xml:space="preserve">Professional Software Engineer Services — Argentina Córdoba Region</w:t>
      </w:r>
    </w:p>
    <w:bookmarkEnd w:id="20"/>
    <w:p>
      <w:pPr>
        <w:pStyle w:val="BodyText"/>
      </w:pPr>
      <w:r>
        <w:rPr>
          <w:bCs/>
          <w:b/>
        </w:rPr>
        <w:t xml:space="preserve">Quotation No.:</w:t>
      </w:r>
      <w:r>
        <w:t xml:space="preserve"> </w:t>
      </w:r>
      <w:r>
        <w:t xml:space="preserve">QE-2025-CBA-0472</w:t>
      </w:r>
      <w:r>
        <w:br/>
      </w:r>
      <w:r>
        <w:rPr>
          <w:bCs/>
          <w:b/>
        </w:rPr>
        <w:t xml:space="preserve">Date Issued:</w:t>
      </w:r>
      <w:r>
        <w:t xml:space="preserve"> </w:t>
      </w:r>
      <w:r>
        <w:t xml:space="preserve">June 15, 2025</w:t>
      </w:r>
      <w:r>
        <w:br/>
      </w:r>
      <w:r>
        <w:rPr>
          <w:bCs/>
          <w:b/>
        </w:rPr>
        <w:t xml:space="preserve">Valid Until:</w:t>
      </w:r>
      <w:r>
        <w:t xml:space="preserve"> </w:t>
      </w:r>
      <w:r>
        <w:t xml:space="preserve">July 15, 2025</w:t>
      </w:r>
    </w:p>
    <w:p>
      <w:pPr>
        <w:pStyle w:val="BodyText"/>
      </w:pPr>
      <w:r>
        <w:rPr>
          <w:bCs/>
          <w:b/>
        </w:rPr>
        <w:t xml:space="preserve">Prepared By:</w:t>
      </w:r>
      <w:r>
        <w:t xml:space="preserve"> </w:t>
      </w:r>
      <w:r>
        <w:t xml:space="preserve">TechNova Solutions S.R.L.</w:t>
      </w:r>
      <w:r>
        <w:br/>
      </w:r>
      <w:r>
        <w:rPr>
          <w:bCs/>
          <w:b/>
        </w:rPr>
        <w:t xml:space="preserve">Location:</w:t>
      </w:r>
      <w:r>
        <w:t xml:space="preserve"> </w:t>
      </w:r>
      <w:r>
        <w:t xml:space="preserve">Av. Hipólito Yrigoyen 1250, Córdoba, Argentina</w:t>
      </w:r>
      <w:r>
        <w:br/>
      </w:r>
      <w:r>
        <w:rPr>
          <w:bCs/>
          <w:b/>
        </w:rPr>
        <w:t xml:space="preserve">Contact:</w:t>
      </w:r>
      <w:r>
        <w:t xml:space="preserve"> </w:t>
      </w:r>
      <w:r>
        <w:t xml:space="preserve">estimates@technova-cba.com.ar</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document is formally issued by TechNova Solutions S.R.L., a technology services firm headquartered in the city of Córdoba, Argentina, to provide a comprehensive and transparent financial projection for the engagement of a dedicated</w:t>
      </w:r>
      <w:r>
        <w:t xml:space="preserve"> </w:t>
      </w:r>
      <w:r>
        <w:t xml:space="preserve">Software Engineer</w:t>
      </w:r>
      <w:r>
        <w:t xml:space="preserve"> </w:t>
      </w:r>
      <w:r>
        <w:t xml:space="preserve">professional. The purpose of this estimate is to outline the scope of services, associated costs, deliverables, and contractual terms governing the professional relationship between our firm and the requesting client. All figures presented herein are calculated in accordance with the prevailing labor market conditions, cost of living, and industry standards specific to the</w:t>
      </w:r>
      <w:r>
        <w:t xml:space="preserve"> </w:t>
      </w:r>
      <w:r>
        <w:t xml:space="preserve">Argentina Córdoba</w:t>
      </w:r>
      <w:r>
        <w:t xml:space="preserve"> </w:t>
      </w:r>
      <w:r>
        <w:t xml:space="preserve">metropolitan area and its surrounding provinces.</w:t>
      </w:r>
    </w:p>
    <w:p>
      <w:pPr>
        <w:pStyle w:val="BodyText"/>
      </w:pPr>
      <w:r>
        <w:t xml:space="preserve">We understand that securing the right</w:t>
      </w:r>
      <w:r>
        <w:t xml:space="preserve"> </w:t>
      </w:r>
      <w:r>
        <w:t xml:space="preserve">Software Engineer</w:t>
      </w:r>
      <w:r>
        <w:t xml:space="preserve"> </w:t>
      </w:r>
      <w:r>
        <w:t xml:space="preserve">is a critical investment for any organization operating in or targeting the Córdoba region. The Córdoba technology ecosystem, supported by institutions such as the Universidad Nacional de Córdoba and the Córdoba Software Park, has produced a robust pool of qualified engineering talent. This</w:t>
      </w:r>
      <w:r>
        <w:t xml:space="preserve"> </w:t>
      </w:r>
      <w:r>
        <w:t xml:space="preserve">Quotation Estimate</w:t>
      </w:r>
      <w:r>
        <w:t xml:space="preserve"> </w:t>
      </w:r>
      <w:r>
        <w:t xml:space="preserve">reflects the competitive yet fair compensation structure that aligns with local market realities while ensuring the client receives exceptional technical value.</w:t>
      </w:r>
    </w:p>
    <w:bookmarkEnd w:id="21"/>
    <w:bookmarkStart w:id="22" w:name="scope-of-services-software-engineer-role"/>
    <w:p>
      <w:pPr>
        <w:pStyle w:val="Heading2"/>
      </w:pPr>
      <w:r>
        <w:t xml:space="preserve">2. Scope of Services — Software Engineer Role</w:t>
      </w:r>
    </w:p>
    <w:p>
      <w:pPr>
        <w:pStyle w:val="FirstParagraph"/>
      </w:pPr>
      <w:r>
        <w:t xml:space="preserve">The</w:t>
      </w:r>
      <w:r>
        <w:t xml:space="preserve"> </w:t>
      </w:r>
      <w:r>
        <w:t xml:space="preserve">Software Engineer</w:t>
      </w:r>
      <w:r>
        <w:t xml:space="preserve"> </w:t>
      </w:r>
      <w:r>
        <w:t xml:space="preserve">engagement covered by this</w:t>
      </w:r>
      <w:r>
        <w:t xml:space="preserve"> </w:t>
      </w:r>
      <w:r>
        <w:t xml:space="preserve">Quotation Estimate</w:t>
      </w:r>
      <w:r>
        <w:t xml:space="preserve"> </w:t>
      </w:r>
      <w:r>
        <w:t xml:space="preserve">encompasses the following professional responsibilities and deliverables: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Component</w:t>
            </w:r>
          </w:p>
        </w:tc>
        <w:tc>
          <w:tcPr/>
          <w:p>
            <w:pPr>
              <w:pStyle w:val="Compact"/>
              <w:jc w:val="left"/>
            </w:pPr>
            <w:r>
              <w:t xml:space="preserve">Description</w:t>
            </w:r>
          </w:p>
        </w:tc>
        <w:tc>
          <w:tcPr/>
          <w:p>
            <w:pPr>
              <w:pStyle w:val="Compact"/>
              <w:jc w:val="left"/>
            </w:pPr>
            <w:r>
              <w:t xml:space="preserve">Duration</w:t>
            </w:r>
          </w:p>
        </w:tc>
      </w:tr>
      <w:tr>
        <w:tc>
          <w:tcPr/>
          <w:p>
            <w:pPr>
              <w:pStyle w:val="Compact"/>
              <w:jc w:val="left"/>
            </w:pPr>
            <w:r>
              <w:t xml:space="preserve">Full-Stack Development</w:t>
            </w:r>
          </w:p>
        </w:tc>
        <w:tc>
          <w:tcPr/>
          <w:p>
            <w:pPr>
              <w:pStyle w:val="Compact"/>
              <w:jc w:val="left"/>
            </w:pPr>
            <w:r>
              <w:t xml:space="preserve">Design, development, and deployment of web and mobile applications using modern frameworks (React, Node.js, Python, or Java) tailored to the client's business requirements in the Argentina Córdoba market.</w:t>
            </w:r>
          </w:p>
        </w:tc>
        <w:tc>
          <w:tcPr/>
          <w:p>
            <w:pPr>
              <w:pStyle w:val="Compact"/>
              <w:jc w:val="left"/>
            </w:pPr>
            <w:r>
              <w:t xml:space="preserve">12 months</w:t>
            </w:r>
          </w:p>
        </w:tc>
      </w:tr>
      <w:tr>
        <w:tc>
          <w:tcPr/>
          <w:p>
            <w:pPr>
              <w:pStyle w:val="Compact"/>
              <w:jc w:val="left"/>
            </w:pPr>
            <w:r>
              <w:t xml:space="preserve">System Architecture &amp; Design</w:t>
            </w:r>
          </w:p>
        </w:tc>
        <w:tc>
          <w:tcPr/>
          <w:p>
            <w:pPr>
              <w:pStyle w:val="Compact"/>
              <w:jc w:val="left"/>
            </w:pPr>
            <w:r>
              <w:t xml:space="preserve">Creation of scalable system architectures, database schemas, and API integrations ensuring long-term maintainability and performance.</w:t>
            </w:r>
          </w:p>
        </w:tc>
        <w:tc>
          <w:tcPr/>
          <w:p>
            <w:pPr>
              <w:pStyle w:val="Compact"/>
              <w:jc w:val="left"/>
            </w:pPr>
            <w:r>
              <w:t xml:space="preserve">Ongoing</w:t>
            </w:r>
          </w:p>
        </w:tc>
      </w:tr>
      <w:tr>
        <w:tc>
          <w:tcPr/>
          <w:p>
            <w:pPr>
              <w:pStyle w:val="Compact"/>
              <w:jc w:val="left"/>
            </w:pPr>
            <w:r>
              <w:t xml:space="preserve">Code Review &amp; Quality Assurance</w:t>
            </w:r>
          </w:p>
        </w:tc>
        <w:tc>
          <w:tcPr/>
          <w:p>
            <w:pPr>
              <w:pStyle w:val="Compact"/>
              <w:jc w:val="left"/>
            </w:pPr>
            <w:r>
              <w:t xml:space="preserve">Continuous code review, unit testing, integration testing, and performance optimization to maintain the highest engineering standards.</w:t>
            </w:r>
          </w:p>
        </w:tc>
        <w:tc>
          <w:tcPr/>
          <w:p>
            <w:pPr>
              <w:pStyle w:val="Compact"/>
              <w:jc w:val="left"/>
            </w:pPr>
            <w:r>
              <w:t xml:space="preserve">Ongoing</w:t>
            </w:r>
          </w:p>
        </w:tc>
      </w:tr>
      <w:tr>
        <w:tc>
          <w:tcPr/>
          <w:p>
            <w:pPr>
              <w:pStyle w:val="Compact"/>
              <w:jc w:val="left"/>
            </w:pPr>
            <w:r>
              <w:t xml:space="preserve">Technical Documentation</w:t>
            </w:r>
          </w:p>
        </w:tc>
        <w:tc>
          <w:tcPr/>
          <w:p>
            <w:pPr>
              <w:pStyle w:val="Compact"/>
              <w:jc w:val="left"/>
            </w:pPr>
            <w:r>
              <w:t xml:space="preserve">Production of comprehensive technical documentation, including system design documents, API references, and deployment guides.</w:t>
            </w:r>
          </w:p>
        </w:tc>
        <w:tc>
          <w:tcPr/>
          <w:p>
            <w:pPr>
              <w:pStyle w:val="Compact"/>
              <w:jc w:val="left"/>
            </w:pPr>
            <w:r>
              <w:t xml:space="preserve">Monthly</w:t>
            </w:r>
          </w:p>
        </w:tc>
      </w:tr>
      <w:tr>
        <w:tc>
          <w:tcPr/>
          <w:p>
            <w:pPr>
              <w:pStyle w:val="Compact"/>
              <w:jc w:val="left"/>
            </w:pPr>
            <w:r>
              <w:t xml:space="preserve">On-Site Support (Córdoba)</w:t>
            </w:r>
          </w:p>
        </w:tc>
        <w:tc>
          <w:tcPr/>
          <w:p>
            <w:pPr>
              <w:pStyle w:val="Compact"/>
              <w:jc w:val="left"/>
            </w:pPr>
            <w:r>
              <w:t xml:space="preserve">Availability for on-site meetings, workshops, and collaborative sprints at the client's premises within the Córdoba city limits or the Córdoba province.</w:t>
            </w:r>
          </w:p>
        </w:tc>
        <w:tc>
          <w:tcPr/>
          <w:p>
            <w:pPr>
              <w:pStyle w:val="Compact"/>
              <w:jc w:val="left"/>
            </w:pPr>
            <w:r>
              <w:t xml:space="preserve">2 days/week</w:t>
            </w:r>
          </w:p>
        </w:tc>
      </w:tr>
      <w:tr>
        <w:tc>
          <w:tcPr/>
          <w:p>
            <w:pPr>
              <w:pStyle w:val="Compact"/>
              <w:jc w:val="left"/>
            </w:pPr>
            <w:r>
              <w:t xml:space="preserve">Maintenance &amp; Bug Resolution</w:t>
            </w:r>
          </w:p>
        </w:tc>
        <w:tc>
          <w:tcPr/>
          <w:p>
            <w:pPr>
              <w:pStyle w:val="Compact"/>
              <w:jc w:val="left"/>
            </w:pPr>
            <w:r>
              <w:t xml:space="preserve">Post-deployment maintenance, critical bug fixes, and iterative feature enhancements within the agreed sprint cycles.</w:t>
            </w:r>
          </w:p>
        </w:tc>
        <w:tc>
          <w:tcPr/>
          <w:p>
            <w:pPr>
              <w:pStyle w:val="Compact"/>
              <w:jc w:val="left"/>
            </w:pPr>
            <w:r>
              <w:t xml:space="preserve">12 months</w:t>
            </w:r>
          </w:p>
        </w:tc>
      </w:tr>
    </w:tbl>
    <w:bookmarkEnd w:id="22"/>
    <w:bookmarkStart w:id="23" w:name="X9731a520f2df829f1d1069be7bb81379a3f65c0"/>
    <w:p>
      <w:pPr>
        <w:pStyle w:val="Heading2"/>
      </w:pPr>
      <w:r>
        <w:t xml:space="preserve">3. Financial Breakdown — Quotation Estimate Details</w:t>
      </w:r>
    </w:p>
    <w:p>
      <w:pPr>
        <w:pStyle w:val="FirstParagraph"/>
      </w:pPr>
      <w:r>
        <w:t xml:space="preserve">The following table presents the itemized cost structure for this</w:t>
      </w:r>
      <w:r>
        <w:t xml:space="preserve"> </w:t>
      </w:r>
      <w:r>
        <w:t xml:space="preserve">Quotation Estimate</w:t>
      </w:r>
      <w:r>
        <w:t xml:space="preserve">. All monetary values are expressed in Argentine Pesos (ARS) and are subject to the applicable tax regime in the province of Córdoba, Argentina. The rates reflect the seniority level of the</w:t>
      </w:r>
      <w:r>
        <w:t xml:space="preserve"> </w:t>
      </w:r>
      <w:r>
        <w:t xml:space="preserve">Software Engineer</w:t>
      </w:r>
      <w:r>
        <w:t xml:space="preserve"> </w:t>
      </w:r>
      <w:r>
        <w:t xml:space="preserve">(Senior, with a minimum of 7 years of professional experience) and the specific cost-of-living adjustments applicable to the Córdoba region.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Item</w:t>
            </w:r>
          </w:p>
        </w:tc>
        <w:tc>
          <w:tcPr/>
          <w:p>
            <w:pPr>
              <w:pStyle w:val="Compact"/>
              <w:jc w:val="left"/>
            </w:pPr>
            <w:r>
              <w:t xml:space="preserve">Unit Cost (ARS)</w:t>
            </w:r>
          </w:p>
        </w:tc>
        <w:tc>
          <w:tcPr/>
          <w:p>
            <w:pPr>
              <w:pStyle w:val="Compact"/>
              <w:jc w:val="left"/>
            </w:pPr>
            <w:r>
              <w:t xml:space="preserve">Quantity</w:t>
            </w:r>
          </w:p>
        </w:tc>
        <w:tc>
          <w:tcPr/>
          <w:p>
            <w:pPr>
              <w:pStyle w:val="Compact"/>
              <w:jc w:val="left"/>
            </w:pPr>
            <w:r>
              <w:t xml:space="preserve">Subtotal (ARS)</w:t>
            </w:r>
          </w:p>
        </w:tc>
      </w:tr>
      <w:tr>
        <w:tc>
          <w:tcPr/>
          <w:p>
            <w:pPr>
              <w:pStyle w:val="Compact"/>
              <w:jc w:val="left"/>
            </w:pPr>
            <w:r>
              <w:t xml:space="preserve">Senior Software Engineer — Monthly Professional Fee</w:t>
            </w:r>
          </w:p>
        </w:tc>
        <w:tc>
          <w:tcPr/>
          <w:p>
            <w:pPr>
              <w:pStyle w:val="Compact"/>
              <w:jc w:val="left"/>
            </w:pPr>
            <w:r>
              <w:t xml:space="preserve">485,000</w:t>
            </w:r>
          </w:p>
        </w:tc>
        <w:tc>
          <w:tcPr/>
          <w:p>
            <w:pPr>
              <w:pStyle w:val="Compact"/>
              <w:jc w:val="left"/>
            </w:pPr>
            <w:r>
              <w:t xml:space="preserve">12 months</w:t>
            </w:r>
          </w:p>
        </w:tc>
        <w:tc>
          <w:tcPr/>
          <w:p>
            <w:pPr>
              <w:pStyle w:val="Compact"/>
              <w:jc w:val="left"/>
            </w:pPr>
            <w:r>
              <w:t xml:space="preserve">5,820,000</w:t>
            </w:r>
          </w:p>
        </w:tc>
      </w:tr>
      <w:tr>
        <w:tc>
          <w:tcPr/>
          <w:p>
            <w:pPr>
              <w:pStyle w:val="Compact"/>
              <w:jc w:val="left"/>
            </w:pPr>
            <w:r>
              <w:t xml:space="preserve">On-Site Support — Travel &amp; Logistics (Córdoba area)</w:t>
            </w:r>
          </w:p>
        </w:tc>
        <w:tc>
          <w:tcPr/>
          <w:p>
            <w:pPr>
              <w:pStyle w:val="Compact"/>
              <w:jc w:val="left"/>
            </w:pPr>
            <w:r>
              <w:t xml:space="preserve">35,000</w:t>
            </w:r>
          </w:p>
        </w:tc>
        <w:tc>
          <w:tcPr/>
          <w:p>
            <w:pPr>
              <w:pStyle w:val="Compact"/>
              <w:jc w:val="left"/>
            </w:pPr>
            <w:r>
              <w:t xml:space="preserve">12 months</w:t>
            </w:r>
          </w:p>
        </w:tc>
        <w:tc>
          <w:tcPr/>
          <w:p>
            <w:pPr>
              <w:pStyle w:val="Compact"/>
              <w:jc w:val="left"/>
            </w:pPr>
            <w:r>
              <w:t xml:space="preserve">420,000</w:t>
            </w:r>
          </w:p>
        </w:tc>
      </w:tr>
      <w:tr>
        <w:tc>
          <w:tcPr/>
          <w:p>
            <w:pPr>
              <w:pStyle w:val="Compact"/>
              <w:jc w:val="left"/>
            </w:pPr>
            <w:r>
              <w:t xml:space="preserve">Technical Licensing &amp; Tooling (IDE, cloud credits, CI/CD)</w:t>
            </w:r>
          </w:p>
        </w:tc>
        <w:tc>
          <w:tcPr/>
          <w:p>
            <w:pPr>
              <w:pStyle w:val="Compact"/>
              <w:jc w:val="left"/>
            </w:pPr>
            <w:r>
              <w:t xml:space="preserve">28,000</w:t>
            </w:r>
          </w:p>
        </w:tc>
        <w:tc>
          <w:tcPr/>
          <w:p>
            <w:pPr>
              <w:pStyle w:val="Compact"/>
              <w:jc w:val="left"/>
            </w:pPr>
            <w:r>
              <w:t xml:space="preserve">12 months</w:t>
            </w:r>
          </w:p>
        </w:tc>
        <w:tc>
          <w:tcPr/>
          <w:p>
            <w:pPr>
              <w:pStyle w:val="Compact"/>
              <w:jc w:val="left"/>
            </w:pPr>
            <w:r>
              <w:t xml:space="preserve">336,000</w:t>
            </w:r>
          </w:p>
        </w:tc>
      </w:tr>
      <w:tr>
        <w:tc>
          <w:tcPr/>
          <w:p>
            <w:pPr>
              <w:pStyle w:val="Compact"/>
              <w:jc w:val="left"/>
            </w:pPr>
            <w:r>
              <w:t xml:space="preserve">Project Management &amp; Coordination Overhead</w:t>
            </w:r>
          </w:p>
        </w:tc>
        <w:tc>
          <w:tcPr/>
          <w:p>
            <w:pPr>
              <w:pStyle w:val="Compact"/>
              <w:jc w:val="left"/>
            </w:pPr>
            <w:r>
              <w:t xml:space="preserve">62,000</w:t>
            </w:r>
          </w:p>
        </w:tc>
        <w:tc>
          <w:tcPr/>
          <w:p>
            <w:pPr>
              <w:pStyle w:val="Compact"/>
              <w:jc w:val="left"/>
            </w:pPr>
            <w:r>
              <w:t xml:space="preserve">12 months</w:t>
            </w:r>
          </w:p>
        </w:tc>
        <w:tc>
          <w:tcPr/>
          <w:p>
            <w:pPr>
              <w:pStyle w:val="Compact"/>
              <w:jc w:val="left"/>
            </w:pPr>
            <w:r>
              <w:t xml:space="preserve">744,000</w:t>
            </w:r>
          </w:p>
        </w:tc>
      </w:tr>
      <w:tr>
        <w:tc>
          <w:tcPr/>
          <w:p>
            <w:pPr>
              <w:pStyle w:val="Compact"/>
              <w:jc w:val="left"/>
            </w:pPr>
            <w:r>
              <w:t xml:space="preserve">Initial Onboarding &amp; Environment Setup</w:t>
            </w:r>
          </w:p>
        </w:tc>
        <w:tc>
          <w:tcPr/>
          <w:p>
            <w:pPr>
              <w:pStyle w:val="Compact"/>
              <w:jc w:val="left"/>
            </w:pPr>
            <w:r>
              <w:t xml:space="preserve">150,000</w:t>
            </w:r>
          </w:p>
        </w:tc>
        <w:tc>
          <w:tcPr/>
          <w:p>
            <w:pPr>
              <w:pStyle w:val="Compact"/>
              <w:jc w:val="left"/>
            </w:pPr>
            <w:r>
              <w:t xml:space="preserve">1 (one-time)</w:t>
            </w:r>
          </w:p>
        </w:tc>
        <w:tc>
          <w:tcPr/>
          <w:p>
            <w:pPr>
              <w:pStyle w:val="Compact"/>
              <w:jc w:val="left"/>
            </w:pPr>
            <w:r>
              <w:t xml:space="preserve">150,000</w:t>
            </w:r>
          </w:p>
        </w:tc>
      </w:tr>
      <w:tr>
        <w:tc>
          <w:tcPr/>
          <w:p>
            <w:pPr>
              <w:pStyle w:val="Compact"/>
              <w:jc w:val="left"/>
            </w:pPr>
            <w:r>
              <w:t xml:space="preserve">Knowledge Transfer &amp; Final Documentation Package</w:t>
            </w:r>
          </w:p>
        </w:tc>
        <w:tc>
          <w:tcPr/>
          <w:p>
            <w:pPr>
              <w:pStyle w:val="Compact"/>
              <w:jc w:val="left"/>
            </w:pPr>
            <w:r>
              <w:t xml:space="preserve">95,000</w:t>
            </w:r>
          </w:p>
        </w:tc>
        <w:tc>
          <w:tcPr/>
          <w:p>
            <w:pPr>
              <w:pStyle w:val="Compact"/>
              <w:jc w:val="left"/>
            </w:pPr>
            <w:r>
              <w:t xml:space="preserve">1 (one-time)</w:t>
            </w:r>
          </w:p>
        </w:tc>
        <w:tc>
          <w:tcPr/>
          <w:p>
            <w:pPr>
              <w:pStyle w:val="Compact"/>
              <w:jc w:val="left"/>
            </w:pPr>
            <w:r>
              <w:t xml:space="preserve">95,000</w:t>
            </w:r>
          </w:p>
        </w:tc>
      </w:tr>
      <w:tr>
        <w:tc>
          <w:tcPr>
            <w:gridSpan w:val="3"/>
          </w:tcPr>
          <w:p>
            <w:pPr>
              <w:pStyle w:val="Compact"/>
              <w:jc w:val="left"/>
            </w:pPr>
            <w:r>
              <w:t xml:space="preserve">Subtotal (before taxes)</w:t>
            </w:r>
          </w:p>
        </w:tc>
        <w:tc>
          <w:tcPr/>
          <w:p>
            <w:pPr>
              <w:pStyle w:val="Compact"/>
              <w:jc w:val="left"/>
            </w:pPr>
            <w:r>
              <w:t xml:space="preserve">7,565,000</w:t>
            </w:r>
          </w:p>
        </w:tc>
      </w:tr>
      <w:tr>
        <w:tc>
          <w:tcPr>
            <w:gridSpan w:val="3"/>
          </w:tcPr>
          <w:p>
            <w:pPr>
              <w:pStyle w:val="Compact"/>
              <w:jc w:val="left"/>
            </w:pPr>
            <w:r>
              <w:t xml:space="preserve">IVA (21% — Argentine Value Added Tax)</w:t>
            </w:r>
          </w:p>
        </w:tc>
        <w:tc>
          <w:tcPr/>
          <w:p>
            <w:pPr>
              <w:pStyle w:val="Compact"/>
              <w:jc w:val="left"/>
            </w:pPr>
            <w:r>
              <w:t xml:space="preserve">1,588,650</w:t>
            </w:r>
          </w:p>
        </w:tc>
      </w:tr>
      <w:tr>
        <w:tc>
          <w:tcPr>
            <w:gridSpan w:val="3"/>
          </w:tcPr>
          <w:p>
            <w:pPr>
              <w:pStyle w:val="Compact"/>
              <w:jc w:val="left"/>
            </w:pPr>
            <w:r>
              <w:rPr>
                <w:bCs/>
                <w:b/>
              </w:rPr>
              <w:t xml:space="preserve">TOTAL ESTIMATED COST (ARS)</w:t>
            </w:r>
          </w:p>
        </w:tc>
        <w:tc>
          <w:tcPr/>
          <w:p>
            <w:pPr>
              <w:pStyle w:val="Compact"/>
              <w:jc w:val="left"/>
            </w:pPr>
            <w:r>
              <w:rPr>
                <w:bCs/>
                <w:b/>
              </w:rPr>
              <w:t xml:space="preserve">9,153,650</w:t>
            </w:r>
          </w:p>
        </w:tc>
      </w:tr>
    </w:tbl>
    <w:p>
      <w:pPr>
        <w:pStyle w:val="BodyText"/>
      </w:pPr>
      <w:r>
        <w:rPr>
          <w:iCs/>
          <w:i/>
        </w:rPr>
        <w:t xml:space="preserve">Note: This Quotation Estimate assumes a standard 40-hour work week. Overtime or expedited delivery requests will be subject to a separate supplementary estimate. All costs are exclusive of any third-party cloud infrastructure charges directly billed to the client.</w:t>
      </w:r>
    </w:p>
    <w:bookmarkEnd w:id="23"/>
    <w:bookmarkStart w:id="24" w:name="payment-terms-and-schedule"/>
    <w:p>
      <w:pPr>
        <w:pStyle w:val="Heading2"/>
      </w:pPr>
      <w:r>
        <w:t xml:space="preserve">4. Payment Terms and Schedule</w:t>
      </w:r>
    </w:p>
    <w:p>
      <w:pPr>
        <w:pStyle w:val="FirstParagraph"/>
      </w:pPr>
      <w:r>
        <w:t xml:space="preserve">In accordance with standard commercial practices in</w:t>
      </w:r>
      <w:r>
        <w:t xml:space="preserve"> </w:t>
      </w:r>
      <w:r>
        <w:t xml:space="preserve">Argentina Córdoba</w:t>
      </w:r>
      <w:r>
        <w:t xml:space="preserve">, the payment schedule for this</w:t>
      </w:r>
      <w:r>
        <w:t xml:space="preserve"> </w:t>
      </w:r>
      <w:r>
        <w:t xml:space="preserve">Quotation Estimate</w:t>
      </w:r>
      <w:r>
        <w:t xml:space="preserve"> </w:t>
      </w:r>
      <w:r>
        <w:t xml:space="preserve">is structured as follows:</w:t>
      </w:r>
    </w:p>
    <w:p>
      <w:pPr>
        <w:numPr>
          <w:ilvl w:val="0"/>
          <w:numId w:val="1001"/>
        </w:numPr>
        <w:pStyle w:val="Compact"/>
      </w:pPr>
      <w:r>
        <w:rPr>
          <w:bCs/>
          <w:b/>
        </w:rPr>
        <w:t xml:space="preserve">30% advance payment</w:t>
      </w:r>
      <w:r>
        <w:t xml:space="preserve"> </w:t>
      </w:r>
      <w:r>
        <w:t xml:space="preserve">upon signed acceptance of this Quotation Estimate and execution of the service contract.</w:t>
      </w:r>
    </w:p>
    <w:p>
      <w:pPr>
        <w:numPr>
          <w:ilvl w:val="0"/>
          <w:numId w:val="1001"/>
        </w:numPr>
        <w:pStyle w:val="Compact"/>
      </w:pPr>
      <w:r>
        <w:rPr>
          <w:bCs/>
          <w:b/>
        </w:rPr>
        <w:t xml:space="preserve">Monthly installments of 6.5%</w:t>
      </w:r>
      <w:r>
        <w:t xml:space="preserve"> </w:t>
      </w:r>
      <w:r>
        <w:t xml:space="preserve">of the total contract value, payable within 15 calendar days of the end of each calendar month.</w:t>
      </w:r>
    </w:p>
    <w:p>
      <w:pPr>
        <w:numPr>
          <w:ilvl w:val="0"/>
          <w:numId w:val="1001"/>
        </w:numPr>
        <w:pStyle w:val="Compact"/>
      </w:pPr>
      <w:r>
        <w:rPr>
          <w:bCs/>
          <w:b/>
        </w:rPr>
        <w:t xml:space="preserve">Final 10% retention</w:t>
      </w:r>
      <w:r>
        <w:t xml:space="preserve"> </w:t>
      </w:r>
      <w:r>
        <w:t xml:space="preserve">released upon successful completion of the 12-month engagement and delivery of the final knowledge transfer package.</w:t>
      </w:r>
    </w:p>
    <w:p>
      <w:pPr>
        <w:pStyle w:val="FirstParagraph"/>
      </w:pPr>
      <w:r>
        <w:t xml:space="preserve">Payments shall be made via bank transfer to the account of TechNova Solutions S.R.L., CUIT 30-XXXXXXXX-X, Banco de la Nación Argentina, Sucursal Córdoba. Invoices will be issued in compliance with the Argentine AFIP electronic invoicing system (Factura Electrónica).</w:t>
      </w:r>
    </w:p>
    <w:bookmarkEnd w:id="24"/>
    <w:bookmarkStart w:id="25" w:name="terms-conditions-and-validity"/>
    <w:p>
      <w:pPr>
        <w:pStyle w:val="Heading2"/>
      </w:pPr>
      <w:r>
        <w:t xml:space="preserve">5. Terms, Conditions, and Validity</w:t>
      </w:r>
    </w:p>
    <w:p>
      <w:pPr>
        <w:numPr>
          <w:ilvl w:val="0"/>
          <w:numId w:val="1002"/>
        </w:numPr>
        <w:pStyle w:val="Compact"/>
      </w:pPr>
      <w:r>
        <w:t xml:space="preserve">This</w:t>
      </w:r>
      <w:r>
        <w:t xml:space="preserve"> </w:t>
      </w:r>
      <w:r>
        <w:t xml:space="preserve">Quotation Estimate</w:t>
      </w:r>
      <w:r>
        <w:t xml:space="preserve"> </w:t>
      </w:r>
      <w:r>
        <w:t xml:space="preserve">is valid for a period of</w:t>
      </w:r>
      <w:r>
        <w:t xml:space="preserve"> </w:t>
      </w:r>
      <w:r>
        <w:rPr>
          <w:bCs/>
          <w:b/>
        </w:rPr>
        <w:t xml:space="preserve">30 calendar days</w:t>
      </w:r>
      <w:r>
        <w:t xml:space="preserve"> </w:t>
      </w:r>
      <w:r>
        <w:t xml:space="preserve">from the date of issue. Beyond this period, all rates and conditions are subject to revision due to potential fluctuations in the Argentine peso exchange rate and local labor market adjustments in Córdoba.</w:t>
      </w:r>
    </w:p>
    <w:p>
      <w:pPr>
        <w:numPr>
          <w:ilvl w:val="0"/>
          <w:numId w:val="1002"/>
        </w:numPr>
        <w:pStyle w:val="Compact"/>
      </w:pPr>
      <w:r>
        <w:t xml:space="preserve">The</w:t>
      </w:r>
      <w:r>
        <w:t xml:space="preserve"> </w:t>
      </w:r>
      <w:r>
        <w:t xml:space="preserve">Software Engineer</w:t>
      </w:r>
      <w:r>
        <w:t xml:space="preserve"> </w:t>
      </w:r>
      <w:r>
        <w:t xml:space="preserve">assigned to this project will be a full-time professional resident in or with a primary base of operations in the Córdoba metropolitan area, ensuring proximity and responsiveness to the client's needs.</w:t>
      </w:r>
    </w:p>
    <w:p>
      <w:pPr>
        <w:numPr>
          <w:ilvl w:val="0"/>
          <w:numId w:val="1002"/>
        </w:numPr>
        <w:pStyle w:val="Compact"/>
      </w:pPr>
      <w:r>
        <w:t xml:space="preserve">Confidentiality and intellectual property terms shall be governed by a separate Non-Disclosure Agreement (NDA) and IP Assignment Agreement, executed concurrently with the main service contract.</w:t>
      </w:r>
    </w:p>
    <w:p>
      <w:pPr>
        <w:numPr>
          <w:ilvl w:val="0"/>
          <w:numId w:val="1002"/>
        </w:numPr>
        <w:pStyle w:val="Compact"/>
      </w:pPr>
      <w:r>
        <w:t xml:space="preserve">Either party may terminate the engagement with a 30-day written notice. In the event of early termination, all fees for services rendered up to the termination date, plus a 10% administrative closure fee, shall be due.</w:t>
      </w:r>
    </w:p>
    <w:p>
      <w:pPr>
        <w:numPr>
          <w:ilvl w:val="0"/>
          <w:numId w:val="1002"/>
        </w:numPr>
        <w:pStyle w:val="Compact"/>
      </w:pPr>
      <w:r>
        <w:t xml:space="preserve">This Quotation Estimate does not constitute a binding contract until formally accepted in writing by both parties and countersigned by authorized representatives.</w:t>
      </w:r>
    </w:p>
    <w:p>
      <w:pPr>
        <w:numPr>
          <w:ilvl w:val="0"/>
          <w:numId w:val="1002"/>
        </w:numPr>
        <w:pStyle w:val="Compact"/>
      </w:pPr>
      <w:r>
        <w:t xml:space="preserve">All disputes arising from this engagement shall be resolved through mediation in the city of Córdoba, Argentina, in accordance with the applicable provisions of the Argentine Civil and Commercial Code.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for</w:t>
      </w:r>
      <w:r>
        <w:t xml:space="preserve"> </w:t>
      </w:r>
      <w:r>
        <w:t xml:space="preserve">Software Engineer</w:t>
      </w:r>
      <w:r>
        <w:t xml:space="preserve"> </w:t>
      </w:r>
      <w:r>
        <w:t xml:space="preserve">services in</w:t>
      </w:r>
      <w:r>
        <w:t xml:space="preserve"> </w:t>
      </w:r>
      <w:r>
        <w:t xml:space="preserve">Argentina Córdoba</w:t>
      </w:r>
      <w:r>
        <w:t xml:space="preserve"> </w:t>
      </w:r>
      <w:r>
        <w:t xml:space="preserve">and agrees to the terms, conditions, and financial projections outlined herein. This signature constitutes formal acceptance and authorizes TechNova Solutions S.R.L. to proceed with the onboarding and assignment of the designated Software Engineer professional.</w:t>
      </w:r>
    </w:p>
    <w:bookmarkEnd w:id="26"/>
    <w:p>
      <w:pPr>
        <w:pStyle w:val="BodyText"/>
      </w:pPr>
      <w:r>
        <w:rPr>
          <w:bCs/>
          <w:b/>
        </w:rPr>
        <w:t xml:space="preserve">Client Representative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TechNova Solutions S.R.L.</w:t>
      </w:r>
      <w:r>
        <w:br/>
      </w:r>
      <w:r>
        <w:t xml:space="preserve">Name: _________________________</w:t>
      </w:r>
      <w:r>
        <w:br/>
      </w:r>
      <w:r>
        <w:t xml:space="preserve">Title: Director General</w:t>
      </w:r>
      <w:r>
        <w:br/>
      </w:r>
      <w:r>
        <w:t xml:space="preserve">Date: _________________________</w:t>
      </w:r>
    </w:p>
    <w:p>
      <w:pPr>
        <w:pStyle w:val="BodyText"/>
      </w:pPr>
      <w:r>
        <w:t xml:space="preserve">TechNova Solutions S.R.L. — CUIT 30-XXXXXXXX-X — Av. Hipólito Yrigoyen 1250, B1400 Córdoba, Argentina</w:t>
      </w:r>
      <w:r>
        <w:br/>
      </w:r>
      <w:r>
        <w:t xml:space="preserve">This Quotation Estimate document is confidential and intended solely for the named recipient. Unauthorized reproduction or distribution is prohibited.</w:t>
      </w:r>
      <w:r>
        <w:br/>
      </w:r>
      <w:r>
        <w:t xml:space="preserve">Document Reference: QE-2025-CBA-0472 | Software Engineer Services | Argentina Córdoba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Software Engineer Services - Argentina Córdoba</dc:title>
  <dc:creator/>
  <dc:language>en</dc:language>
  <cp:keywords/>
  <dcterms:created xsi:type="dcterms:W3CDTF">2026-10-10T01:51:09Z</dcterms:created>
  <dcterms:modified xsi:type="dcterms:W3CDTF">2026-10-10T01:51:09Z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