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Software Engineer Services — Australia Sydney</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QE-SYD-2025-0472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Prepared By</w:t>
            </w:r>
          </w:p>
        </w:tc>
        <w:tc>
          <w:tcPr/>
          <w:p>
            <w:pPr>
              <w:pStyle w:val="Compact"/>
              <w:jc w:val="left"/>
            </w:pPr>
            <w:r>
              <w:t xml:space="preserve">Apex Digital Solutions Pty Ltd</w:t>
            </w:r>
            <w:r>
              <w:br/>
            </w:r>
            <w:r>
              <w:t xml:space="preserve">Level 12, 200 George Street, Sydney NSW 2000</w:t>
            </w:r>
            <w:r>
              <w:br/>
            </w:r>
            <w:r>
              <w:t xml:space="preserve">ABN: 48 123 456 789</w:t>
            </w:r>
            <w:r>
              <w:br/>
            </w:r>
            <w:r>
              <w:t xml:space="preserve">contact@apexdigital.com.au</w:t>
            </w:r>
          </w:p>
        </w:tc>
        <w:tc>
          <w:tcPr/>
          <w:p>
            <w:pPr>
              <w:pStyle w:val="Compact"/>
              <w:jc w:val="left"/>
            </w:pPr>
            <w:r>
              <w:t xml:space="preserve">Prepared For</w:t>
            </w:r>
          </w:p>
        </w:tc>
        <w:tc>
          <w:tcPr/>
          <w:p>
            <w:pPr>
              <w:pStyle w:val="Compact"/>
              <w:jc w:val="left"/>
            </w:pPr>
            <w:r>
              <w:t xml:space="preserve">Harbourview Technologies Ltd</w:t>
            </w:r>
            <w:r>
              <w:br/>
            </w:r>
            <w:r>
              <w:t xml:space="preserve">Suite 5, 88 Martin Place, Sydney NSW 2000</w:t>
            </w:r>
            <w:r>
              <w:br/>
            </w:r>
            <w:r>
              <w:t xml:space="preserve">ABN: 21 987 654 321</w:t>
            </w:r>
            <w:r>
              <w:br/>
            </w:r>
            <w:r>
              <w:t xml:space="preserve">procurement@harbourviewtech.com.au</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Apex Digital Solutions Pty Ltd in response to the formal request for professional services from Harbourview Technologies Ltd. The scope of this engagement centres on the provision of a senior</w:t>
      </w:r>
      <w:r>
        <w:t xml:space="preserve"> </w:t>
      </w:r>
      <w:r>
        <w:t xml:space="preserve">Software Engineer</w:t>
      </w:r>
      <w:r>
        <w:t xml:space="preserve"> </w:t>
      </w:r>
      <w:r>
        <w:t xml:space="preserve">to support the development, architecture, and deployment of a cloud-native enterprise platform. All services described herein will be delivered in accordance with the professional standards, regulatory requirements, and industry best practices applicable to the</w:t>
      </w:r>
      <w:r>
        <w:t xml:space="preserve"> </w:t>
      </w:r>
      <w:r>
        <w:t xml:space="preserve">Australia Sydney</w:t>
      </w:r>
      <w:r>
        <w:t xml:space="preserve"> </w:t>
      </w:r>
      <w:r>
        <w:t xml:space="preserve">metropolitan region. This</w:t>
      </w:r>
      <w:r>
        <w:t xml:space="preserve"> </w:t>
      </w:r>
      <w:r>
        <w:t xml:space="preserve">Quotation Estimate</w:t>
      </w:r>
      <w:r>
        <w:t xml:space="preserve"> </w:t>
      </w:r>
      <w:r>
        <w:t xml:space="preserve">reflects current market rates for qualified</w:t>
      </w:r>
      <w:r>
        <w:t xml:space="preserve"> </w:t>
      </w:r>
      <w:r>
        <w:t xml:space="preserve">Software Engineer</w:t>
      </w:r>
      <w:r>
        <w:t xml:space="preserve"> </w:t>
      </w:r>
      <w:r>
        <w:t xml:space="preserve">talent operating within the competitive technology landscape of</w:t>
      </w:r>
      <w:r>
        <w:t xml:space="preserve"> </w:t>
      </w:r>
      <w:r>
        <w:t xml:space="preserve">Australia Sydney</w:t>
      </w:r>
      <w:r>
        <w:t xml:space="preserve">, where demand for specialised engineering expertise continues to grow across financial services, health technology, and government sectors.</w:t>
      </w:r>
    </w:p>
    <w:bookmarkEnd w:id="21"/>
    <w:bookmarkStart w:id="22" w:name="scope-of-work-software-engineer-services"/>
    <w:p>
      <w:pPr>
        <w:pStyle w:val="Heading2"/>
      </w:pPr>
      <w:r>
        <w:t xml:space="preserve">2. Scope of Work — Software Engineer Services</w:t>
      </w:r>
    </w:p>
    <w:p>
      <w:pPr>
        <w:pStyle w:val="FirstParagraph"/>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will be responsible for the following deliverables and activities, all to be performed in compliance with Australian Information Security Manual (AISIM) guidelines and the Privacy Act 1988 (Cth) as applicable to the</w:t>
      </w:r>
      <w:r>
        <w:t xml:space="preserve"> </w:t>
      </w:r>
      <w:r>
        <w:t xml:space="preserve">Australia Sydney</w:t>
      </w:r>
      <w:r>
        <w:t xml:space="preserve"> </w:t>
      </w:r>
      <w:r>
        <w:t xml:space="preserve">jurisdiction: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Initial technical discovery, system architecture review, and solution design for the enterprise cloud platform. The</w:t>
            </w:r>
            <w:r>
              <w:t xml:space="preserve"> </w:t>
            </w:r>
            <w:r>
              <w:t xml:space="preserve">Software Engineer</w:t>
            </w:r>
            <w:r>
              <w:t xml:space="preserve"> </w:t>
            </w:r>
            <w:r>
              <w:t xml:space="preserve">will conduct stakeholder workshops in Sydney CBD and produce a comprehensive architecture document.</w:t>
            </w:r>
          </w:p>
        </w:tc>
        <w:tc>
          <w:tcPr/>
          <w:p>
            <w:pPr>
              <w:pStyle w:val="Compact"/>
              <w:jc w:val="left"/>
            </w:pPr>
            <w:r>
              <w:t xml:space="preserve">2 weeks</w:t>
            </w:r>
          </w:p>
        </w:tc>
        <w:tc>
          <w:tcPr/>
          <w:p>
            <w:pPr>
              <w:pStyle w:val="Compact"/>
              <w:jc w:val="left"/>
            </w:pPr>
            <w:r>
              <w:t xml:space="preserve">$185.00 / hr</w:t>
            </w:r>
          </w:p>
        </w:tc>
        <w:tc>
          <w:tcPr/>
          <w:p>
            <w:pPr>
              <w:pStyle w:val="Compact"/>
              <w:jc w:val="left"/>
            </w:pPr>
            <w:r>
              <w:t xml:space="preserve">$14,800.00</w:t>
            </w:r>
          </w:p>
        </w:tc>
      </w:tr>
      <w:tr>
        <w:tc>
          <w:tcPr/>
          <w:p>
            <w:pPr>
              <w:pStyle w:val="Compact"/>
              <w:jc w:val="left"/>
            </w:pPr>
            <w:r>
              <w:t xml:space="preserve">2</w:t>
            </w:r>
          </w:p>
        </w:tc>
        <w:tc>
          <w:tcPr/>
          <w:p>
            <w:pPr>
              <w:pStyle w:val="Compact"/>
              <w:jc w:val="left"/>
            </w:pPr>
            <w:r>
              <w:t xml:space="preserve">Core platform development including microservices design, API integration, database schema modelling, and CI/CD pipeline configuration. All code will be written to meet Australian Standards AS/NZS 4819 for software engineering.</w:t>
            </w:r>
          </w:p>
        </w:tc>
        <w:tc>
          <w:tcPr/>
          <w:p>
            <w:pPr>
              <w:pStyle w:val="Compact"/>
              <w:jc w:val="left"/>
            </w:pPr>
            <w:r>
              <w:t xml:space="preserve">10 weeks</w:t>
            </w:r>
          </w:p>
        </w:tc>
        <w:tc>
          <w:tcPr/>
          <w:p>
            <w:pPr>
              <w:pStyle w:val="Compact"/>
              <w:jc w:val="left"/>
            </w:pPr>
            <w:r>
              <w:t xml:space="preserve">$185.00 / hr</w:t>
            </w:r>
          </w:p>
        </w:tc>
        <w:tc>
          <w:tcPr/>
          <w:p>
            <w:pPr>
              <w:pStyle w:val="Compact"/>
              <w:jc w:val="left"/>
            </w:pPr>
            <w:r>
              <w:t xml:space="preserve">$74,000.00</w:t>
            </w:r>
          </w:p>
        </w:tc>
      </w:tr>
      <w:tr>
        <w:tc>
          <w:tcPr/>
          <w:p>
            <w:pPr>
              <w:pStyle w:val="Compact"/>
              <w:jc w:val="left"/>
            </w:pPr>
            <w:r>
              <w:t xml:space="preserve">3</w:t>
            </w:r>
          </w:p>
        </w:tc>
        <w:tc>
          <w:tcPr/>
          <w:p>
            <w:pPr>
              <w:pStyle w:val="Compact"/>
              <w:jc w:val="left"/>
            </w:pPr>
            <w:r>
              <w:t xml:space="preserve">Quality assurance, unit testing, integration testing, and performance benchmarking. The</w:t>
            </w:r>
            <w:r>
              <w:t xml:space="preserve"> </w:t>
            </w:r>
            <w:r>
              <w:t xml:space="preserve">Software Engineer</w:t>
            </w:r>
            <w:r>
              <w:t xml:space="preserve"> </w:t>
            </w:r>
            <w:r>
              <w:t xml:space="preserve">will ensure all deliverables meet the acceptance criteria defined in the project charter.</w:t>
            </w:r>
          </w:p>
        </w:tc>
        <w:tc>
          <w:tcPr/>
          <w:p>
            <w:pPr>
              <w:pStyle w:val="Compact"/>
              <w:jc w:val="left"/>
            </w:pPr>
            <w:r>
              <w:t xml:space="preserve">3 weeks</w:t>
            </w:r>
          </w:p>
        </w:tc>
        <w:tc>
          <w:tcPr/>
          <w:p>
            <w:pPr>
              <w:pStyle w:val="Compact"/>
              <w:jc w:val="left"/>
            </w:pPr>
            <w:r>
              <w:t xml:space="preserve">$185.00 / hr</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Deployment to production environment, infrastructure-as-code provisioning on AWS Sydney Region (ap-southeast-2), and post-deployment monitoring setup.</w:t>
            </w:r>
          </w:p>
        </w:tc>
        <w:tc>
          <w:tcPr/>
          <w:p>
            <w:pPr>
              <w:pStyle w:val="Compact"/>
              <w:jc w:val="left"/>
            </w:pPr>
            <w:r>
              <w:t xml:space="preserve">2 weeks</w:t>
            </w:r>
          </w:p>
        </w:tc>
        <w:tc>
          <w:tcPr/>
          <w:p>
            <w:pPr>
              <w:pStyle w:val="Compact"/>
              <w:jc w:val="left"/>
            </w:pPr>
            <w:r>
              <w:t xml:space="preserve">$185.00 / hr</w:t>
            </w:r>
          </w:p>
        </w:tc>
        <w:tc>
          <w:tcPr/>
          <w:p>
            <w:pPr>
              <w:pStyle w:val="Compact"/>
              <w:jc w:val="left"/>
            </w:pPr>
            <w:r>
              <w:t xml:space="preserve">$14,800.00</w:t>
            </w:r>
          </w:p>
        </w:tc>
      </w:tr>
      <w:tr>
        <w:tc>
          <w:tcPr/>
          <w:p>
            <w:pPr>
              <w:pStyle w:val="Compact"/>
              <w:jc w:val="left"/>
            </w:pPr>
            <w:r>
              <w:t xml:space="preserve">5</w:t>
            </w:r>
          </w:p>
        </w:tc>
        <w:tc>
          <w:tcPr/>
          <w:p>
            <w:pPr>
              <w:pStyle w:val="Compact"/>
              <w:jc w:val="left"/>
            </w:pPr>
            <w:r>
              <w:t xml:space="preserve">Knowledge transfer sessions, technical documentation, and handover to the internal</w:t>
            </w:r>
            <w:r>
              <w:t xml:space="preserve"> </w:t>
            </w:r>
            <w:r>
              <w:t xml:space="preserve">Australia Sydney</w:t>
            </w:r>
            <w:r>
              <w:t xml:space="preserve"> </w:t>
            </w:r>
            <w:r>
              <w:t xml:space="preserve">operations team. Includes preparation of runbooks, API documentation, and maintenance guides.</w:t>
            </w:r>
          </w:p>
        </w:tc>
        <w:tc>
          <w:tcPr/>
          <w:p>
            <w:pPr>
              <w:pStyle w:val="Compact"/>
              <w:jc w:val="left"/>
            </w:pPr>
            <w:r>
              <w:t xml:space="preserve">1 week</w:t>
            </w:r>
          </w:p>
        </w:tc>
        <w:tc>
          <w:tcPr/>
          <w:p>
            <w:pPr>
              <w:pStyle w:val="Compact"/>
              <w:jc w:val="left"/>
            </w:pPr>
            <w:r>
              <w:t xml:space="preserve">$185.00 / hr</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Ongoing technical support and maintenance (first 3 months post-deployment). The</w:t>
            </w:r>
            <w:r>
              <w:t xml:space="preserve"> </w:t>
            </w:r>
            <w:r>
              <w:t xml:space="preserve">Software Engineer</w:t>
            </w:r>
            <w:r>
              <w:t xml:space="preserve"> </w:t>
            </w:r>
            <w:r>
              <w:t xml:space="preserve">will provide on-call support during business hours (AEST) and respond to critical incidents within 4 hours.</w:t>
            </w:r>
          </w:p>
        </w:tc>
        <w:tc>
          <w:tcPr/>
          <w:p>
            <w:pPr>
              <w:pStyle w:val="Compact"/>
              <w:jc w:val="left"/>
            </w:pPr>
            <w:r>
              <w:t xml:space="preserve">3 months</w:t>
            </w:r>
          </w:p>
        </w:tc>
        <w:tc>
          <w:tcPr/>
          <w:p>
            <w:pPr>
              <w:pStyle w:val="Compact"/>
              <w:jc w:val="left"/>
            </w:pPr>
            <w:r>
              <w:t xml:space="preserve">$165.00 / hr</w:t>
            </w:r>
          </w:p>
        </w:tc>
        <w:tc>
          <w:tcPr/>
          <w:p>
            <w:pPr>
              <w:pStyle w:val="Compact"/>
              <w:jc w:val="left"/>
            </w:pPr>
            <w:r>
              <w:t xml:space="preserve">$19,800.00</w:t>
            </w:r>
          </w:p>
        </w:tc>
      </w:tr>
      <w:tr>
        <w:tc>
          <w:tcPr>
            <w:gridSpan w:val="4"/>
          </w:tcPr>
          <w:p>
            <w:pPr>
              <w:pStyle w:val="Compact"/>
              <w:jc w:val="right"/>
            </w:pPr>
            <w:r>
              <w:t xml:space="preserve">Subtotal (AUD)</w:t>
            </w:r>
          </w:p>
        </w:tc>
        <w:tc>
          <w:tcPr/>
          <w:p>
            <w:pPr>
              <w:pStyle w:val="Compact"/>
              <w:jc w:val="left"/>
            </w:pPr>
            <w:r>
              <w:t xml:space="preserve">$153,000.00</w:t>
            </w:r>
          </w:p>
        </w:tc>
      </w:tr>
      <w:tr>
        <w:tc>
          <w:tcPr>
            <w:gridSpan w:val="4"/>
          </w:tcPr>
          <w:p>
            <w:pPr>
              <w:pStyle w:val="Compact"/>
              <w:jc w:val="right"/>
            </w:pPr>
            <w:r>
              <w:t xml:space="preserve">GST (10%)</w:t>
            </w:r>
          </w:p>
        </w:tc>
        <w:tc>
          <w:tcPr/>
          <w:p>
            <w:pPr>
              <w:pStyle w:val="Compact"/>
              <w:jc w:val="left"/>
            </w:pPr>
            <w:r>
              <w:t xml:space="preserve">$15,300.00</w:t>
            </w:r>
          </w:p>
        </w:tc>
      </w:tr>
      <w:tr>
        <w:tc>
          <w:tcPr>
            <w:gridSpan w:val="4"/>
          </w:tcPr>
          <w:p>
            <w:pPr>
              <w:pStyle w:val="Compact"/>
              <w:jc w:val="right"/>
            </w:pPr>
            <w:r>
              <w:t xml:space="preserve">TOTAL (AUD, incl. GST)</w:t>
            </w:r>
          </w:p>
        </w:tc>
        <w:tc>
          <w:tcPr/>
          <w:p>
            <w:pPr>
              <w:pStyle w:val="Compact"/>
              <w:jc w:val="left"/>
            </w:pPr>
            <w:r>
              <w:t xml:space="preserve">$168,300.00</w:t>
            </w:r>
          </w:p>
        </w:tc>
      </w:tr>
    </w:tbl>
    <w:bookmarkEnd w:id="22"/>
    <w:bookmarkStart w:id="23" w:name="X077876d38c84f8b198f712e9349dad1d67f69df"/>
    <w:p>
      <w:pPr>
        <w:pStyle w:val="Heading2"/>
      </w:pPr>
      <w:r>
        <w:t xml:space="preserve">3. Professional Qualifications of the Software Engineer</w:t>
      </w:r>
    </w:p>
    <w:p>
      <w:pPr>
        <w:pStyle w:val="FirstParagraph"/>
      </w:pPr>
      <w:r>
        <w:t xml:space="preserve">The</w:t>
      </w:r>
      <w:r>
        <w:t xml:space="preserve"> </w:t>
      </w:r>
      <w:r>
        <w:t xml:space="preserve">Software Engineer</w:t>
      </w:r>
      <w:r>
        <w:t xml:space="preserve"> </w:t>
      </w:r>
      <w:r>
        <w:t xml:space="preserve">assigned to this engagement holds a Bachelor of Engineering (Software) from the University of Sydney, a minimum of eight (8) years of progressive experience in enterprise software development, and current certifications in AWS Solutions Architect Professional and Certified Kubernetes Administrator (CKA). The engineer is a registered member of Engineers Australia and operates in full compliance with the professional code of conduct for the</w:t>
      </w:r>
      <w:r>
        <w:t xml:space="preserve"> </w:t>
      </w:r>
      <w:r>
        <w:t xml:space="preserve">Australia Sydney</w:t>
      </w:r>
      <w:r>
        <w:t xml:space="preserve"> </w:t>
      </w:r>
      <w:r>
        <w:t xml:space="preserve">engineering community. All work product will be subject to intellectual property provisions consistent with Australian common law and the Copyright Act 1968 (Cth).</w:t>
      </w:r>
    </w:p>
    <w:bookmarkEnd w:id="23"/>
    <w:bookmarkStart w:id="24" w:name="payment-schedule"/>
    <w:p>
      <w:pPr>
        <w:pStyle w:val="Heading2"/>
      </w:pPr>
      <w:r>
        <w:t xml:space="preserve">4. Payment Schedule</w:t>
      </w:r>
    </w:p>
    <w:p>
      <w:pPr>
        <w:pStyle w:val="FirstParagraph"/>
      </w:pPr>
      <w:r>
        <w:t xml:space="preserve">Payment for this</w:t>
      </w:r>
      <w:r>
        <w:t xml:space="preserve"> </w:t>
      </w:r>
      <w:r>
        <w:t xml:space="preserve">Quotation Estimate</w:t>
      </w:r>
      <w:r>
        <w:t xml:space="preserve"> </w:t>
      </w:r>
      <w:r>
        <w:t xml:space="preserve">shall be made in accordance with the following milestone-based schedule. Invoices will be issued in AUD and are payable within thirty (30) calendar days of the invoice date, in accordance with the Payment of Skilled Employee Wages Act 1999 (NSW) and general commercial practice in</w:t>
      </w:r>
      <w:r>
        <w:t xml:space="preserve"> </w:t>
      </w:r>
      <w:r>
        <w:t xml:space="preserve">Australia Sydney</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 incl. GST)</w:t>
            </w:r>
          </w:p>
        </w:tc>
        <w:tc>
          <w:tcPr/>
          <w:p>
            <w:pPr>
              <w:pStyle w:val="Compact"/>
              <w:jc w:val="left"/>
            </w:pPr>
            <w:r>
              <w:t xml:space="preserve">Trigger</w:t>
            </w:r>
          </w:p>
        </w:tc>
      </w:tr>
      <w:tr>
        <w:tc>
          <w:tcPr/>
          <w:p>
            <w:pPr>
              <w:pStyle w:val="Compact"/>
              <w:jc w:val="left"/>
            </w:pPr>
            <w:r>
              <w:t xml:space="preserve">Contract Execution</w:t>
            </w:r>
          </w:p>
        </w:tc>
        <w:tc>
          <w:tcPr/>
          <w:p>
            <w:pPr>
              <w:pStyle w:val="Compact"/>
              <w:jc w:val="left"/>
            </w:pPr>
            <w:r>
              <w:t xml:space="preserve">15%</w:t>
            </w:r>
          </w:p>
        </w:tc>
        <w:tc>
          <w:tcPr/>
          <w:p>
            <w:pPr>
              <w:pStyle w:val="Compact"/>
              <w:jc w:val="left"/>
            </w:pPr>
            <w:r>
              <w:t xml:space="preserve">$25,245.00</w:t>
            </w:r>
          </w:p>
        </w:tc>
        <w:tc>
          <w:tcPr/>
          <w:p>
            <w:pPr>
              <w:pStyle w:val="Compact"/>
              <w:jc w:val="left"/>
            </w:pPr>
            <w:r>
              <w:t xml:space="preserve">Upon signed agreement</w:t>
            </w:r>
          </w:p>
        </w:tc>
      </w:tr>
      <w:tr>
        <w:tc>
          <w:tcPr/>
          <w:p>
            <w:pPr>
              <w:pStyle w:val="Compact"/>
              <w:jc w:val="left"/>
            </w:pPr>
            <w:r>
              <w:t xml:space="preserve">Architecture Sign-Off</w:t>
            </w:r>
          </w:p>
        </w:tc>
        <w:tc>
          <w:tcPr/>
          <w:p>
            <w:pPr>
              <w:pStyle w:val="Compact"/>
              <w:jc w:val="left"/>
            </w:pPr>
            <w:r>
              <w:t xml:space="preserve">20%</w:t>
            </w:r>
          </w:p>
        </w:tc>
        <w:tc>
          <w:tcPr/>
          <w:p>
            <w:pPr>
              <w:pStyle w:val="Compact"/>
              <w:jc w:val="left"/>
            </w:pPr>
            <w:r>
              <w:t xml:space="preserve">$33,660.00</w:t>
            </w:r>
          </w:p>
        </w:tc>
        <w:tc>
          <w:tcPr/>
          <w:p>
            <w:pPr>
              <w:pStyle w:val="Compact"/>
              <w:jc w:val="left"/>
            </w:pPr>
            <w:r>
              <w:t xml:space="preserve">Client approval of design document</w:t>
            </w:r>
          </w:p>
        </w:tc>
      </w:tr>
      <w:tr>
        <w:tc>
          <w:tcPr/>
          <w:p>
            <w:pPr>
              <w:pStyle w:val="Compact"/>
              <w:jc w:val="left"/>
            </w:pPr>
            <w:r>
              <w:t xml:space="preserve">Development Complete</w:t>
            </w:r>
          </w:p>
        </w:tc>
        <w:tc>
          <w:tcPr/>
          <w:p>
            <w:pPr>
              <w:pStyle w:val="Compact"/>
              <w:jc w:val="left"/>
            </w:pPr>
            <w:r>
              <w:t xml:space="preserve">35%</w:t>
            </w:r>
          </w:p>
        </w:tc>
        <w:tc>
          <w:tcPr/>
          <w:p>
            <w:pPr>
              <w:pStyle w:val="Compact"/>
              <w:jc w:val="left"/>
            </w:pPr>
            <w:r>
              <w:t xml:space="preserve">$58,905.00</w:t>
            </w:r>
          </w:p>
        </w:tc>
        <w:tc>
          <w:tcPr/>
          <w:p>
            <w:pPr>
              <w:pStyle w:val="Compact"/>
              <w:jc w:val="left"/>
            </w:pPr>
            <w:r>
              <w:t xml:space="preserve">UAT sign-off</w:t>
            </w:r>
          </w:p>
        </w:tc>
      </w:tr>
      <w:tr>
        <w:tc>
          <w:tcPr/>
          <w:p>
            <w:pPr>
              <w:pStyle w:val="Compact"/>
              <w:jc w:val="left"/>
            </w:pPr>
            <w:r>
              <w:t xml:space="preserve">Production Go-Live</w:t>
            </w:r>
          </w:p>
        </w:tc>
        <w:tc>
          <w:tcPr/>
          <w:p>
            <w:pPr>
              <w:pStyle w:val="Compact"/>
              <w:jc w:val="left"/>
            </w:pPr>
            <w:r>
              <w:t xml:space="preserve">20%</w:t>
            </w:r>
          </w:p>
        </w:tc>
        <w:tc>
          <w:tcPr/>
          <w:p>
            <w:pPr>
              <w:pStyle w:val="Compact"/>
              <w:jc w:val="left"/>
            </w:pPr>
            <w:r>
              <w:t xml:space="preserve">$33,660.00</w:t>
            </w:r>
          </w:p>
        </w:tc>
        <w:tc>
          <w:tcPr/>
          <w:p>
            <w:pPr>
              <w:pStyle w:val="Compact"/>
              <w:jc w:val="left"/>
            </w:pPr>
            <w:r>
              <w:t xml:space="preserve">Successful deployment</w:t>
            </w:r>
          </w:p>
        </w:tc>
      </w:tr>
      <w:tr>
        <w:tc>
          <w:tcPr/>
          <w:p>
            <w:pPr>
              <w:pStyle w:val="Compact"/>
              <w:jc w:val="left"/>
            </w:pPr>
            <w:r>
              <w:t xml:space="preserve">Final Handover</w:t>
            </w:r>
          </w:p>
        </w:tc>
        <w:tc>
          <w:tcPr/>
          <w:p>
            <w:pPr>
              <w:pStyle w:val="Compact"/>
              <w:jc w:val="left"/>
            </w:pPr>
            <w:r>
              <w:t xml:space="preserve">10%</w:t>
            </w:r>
          </w:p>
        </w:tc>
        <w:tc>
          <w:tcPr/>
          <w:p>
            <w:pPr>
              <w:pStyle w:val="Compact"/>
              <w:jc w:val="left"/>
            </w:pPr>
            <w:r>
              <w:t xml:space="preserve">$16,830.00</w:t>
            </w:r>
          </w:p>
        </w:tc>
        <w:tc>
          <w:tcPr/>
          <w:p>
            <w:pPr>
              <w:pStyle w:val="Compact"/>
              <w:jc w:val="left"/>
            </w:pPr>
            <w:r>
              <w:t xml:space="preserve">Knowledge transfer complete</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this period, pricing for the</w:t>
      </w:r>
      <w:r>
        <w:t xml:space="preserve"> </w:t>
      </w:r>
      <w:r>
        <w:t xml:space="preserve">Software Engineer</w:t>
      </w:r>
      <w:r>
        <w:t xml:space="preserve"> </w:t>
      </w:r>
      <w:r>
        <w:t xml:space="preserve">engagement may be subject to revision based on prevailing market conditions in</w:t>
      </w:r>
      <w:r>
        <w:t xml:space="preserve"> </w:t>
      </w:r>
      <w:r>
        <w:t xml:space="preserve">Australia Sydney</w:t>
      </w:r>
      <w:r>
        <w:t xml:space="preserve">.</w:t>
      </w:r>
    </w:p>
    <w:p>
      <w:pPr>
        <w:numPr>
          <w:ilvl w:val="0"/>
          <w:numId w:val="1001"/>
        </w:numPr>
        <w:pStyle w:val="Compact"/>
      </w:pPr>
      <w:r>
        <w:t xml:space="preserve">All rates quoted are in Australian Dollars (AUD) and include the</w:t>
      </w:r>
      <w:r>
        <w:t xml:space="preserve"> </w:t>
      </w:r>
      <w:r>
        <w:t xml:space="preserve">Software Engineer</w:t>
      </w:r>
      <w:r>
        <w:t xml:space="preserve">'s professional time, tools, and standard development environment. Travel within the Sydney metropolitan area is included; travel outside Greater Sydney will be billed at cost.</w:t>
      </w:r>
    </w:p>
    <w:p>
      <w:pPr>
        <w:numPr>
          <w:ilvl w:val="0"/>
          <w:numId w:val="1001"/>
        </w:numPr>
        <w:pStyle w:val="Compact"/>
      </w:pPr>
      <w:r>
        <w:t xml:space="preserve">The</w:t>
      </w:r>
      <w:r>
        <w:t xml:space="preserve"> </w:t>
      </w:r>
      <w:r>
        <w:t xml:space="preserve">Software Engineer</w:t>
      </w:r>
      <w:r>
        <w:t xml:space="preserve"> </w:t>
      </w:r>
      <w:r>
        <w:t xml:space="preserve">will work a standard 38-hour week (Monday to Friday, 9:00 AM to 5:00 PM AEST) unless otherwise agreed in writing. Overtime will be compensated at 1.5 times the standard hourly rate in accordance with the ICT General Award 2020.</w:t>
      </w:r>
    </w:p>
    <w:p>
      <w:pPr>
        <w:numPr>
          <w:ilvl w:val="0"/>
          <w:numId w:val="1001"/>
        </w:numPr>
        <w:pStyle w:val="Compact"/>
      </w:pPr>
      <w:r>
        <w:t xml:space="preserve">Confidentiality: All information exchanged during the engagement is subject to a mutual Non-Disclosure Agreement (NDA) to be executed prior to commencement. This is particularly important given the sensitive nature of enterprise systems operating in the</w:t>
      </w:r>
      <w:r>
        <w:t xml:space="preserve"> </w:t>
      </w:r>
      <w:r>
        <w:t xml:space="preserve">Australia Sydney</w:t>
      </w:r>
      <w:r>
        <w:t xml:space="preserve"> </w:t>
      </w:r>
      <w:r>
        <w:t xml:space="preserve">financial and government sectors.</w:t>
      </w:r>
    </w:p>
    <w:p>
      <w:pPr>
        <w:numPr>
          <w:ilvl w:val="0"/>
          <w:numId w:val="1001"/>
        </w:numPr>
        <w:pStyle w:val="Compact"/>
      </w:pPr>
      <w:r>
        <w:t xml:space="preserve">Intellectual Property: Upon full payment, all source code, documentation, and deliverables produced by the</w:t>
      </w:r>
      <w:r>
        <w:t xml:space="preserve"> </w:t>
      </w:r>
      <w:r>
        <w:t xml:space="preserve">Software Engineer</w:t>
      </w:r>
      <w:r>
        <w:t xml:space="preserve"> </w:t>
      </w:r>
      <w:r>
        <w:t xml:space="preserve">shall become the sole property of the client. Apex Digital Solutions Pty Ltd retains the right to reference the project in anonymised case studies.</w:t>
      </w:r>
    </w:p>
    <w:p>
      <w:pPr>
        <w:numPr>
          <w:ilvl w:val="0"/>
          <w:numId w:val="1001"/>
        </w:numPr>
        <w:pStyle w:val="Compact"/>
      </w:pPr>
      <w:r>
        <w:t xml:space="preserve">Liability: The total liability of Apex Digital Solutions Pty Ltd under this</w:t>
      </w:r>
      <w:r>
        <w:t xml:space="preserve"> </w:t>
      </w:r>
      <w:r>
        <w:t xml:space="preserve">Quotation Estimate</w:t>
      </w:r>
      <w:r>
        <w:t xml:space="preserve"> </w:t>
      </w:r>
      <w:r>
        <w:t xml:space="preserve">shall not exceed the total contract value. Neither party shall be liable for indirect, consequential, or punitive damages.</w:t>
      </w:r>
    </w:p>
    <w:p>
      <w:pPr>
        <w:numPr>
          <w:ilvl w:val="0"/>
          <w:numId w:val="1001"/>
        </w:numPr>
        <w:pStyle w:val="Compact"/>
      </w:pPr>
      <w:r>
        <w:t xml:space="preserve">Governing Law: This agreement shall be governed by and construed in accordance with the laws of the State of New South Wales, Australia. Any disputes shall be resolved by the courts of</w:t>
      </w:r>
      <w:r>
        <w:t xml:space="preserve"> </w:t>
      </w:r>
      <w:r>
        <w:t xml:space="preserve">Australia Sydney</w:t>
      </w:r>
      <w:r>
        <w:t xml:space="preserve"> </w:t>
      </w:r>
      <w:r>
        <w:t xml:space="preserve">or by arbitration under the rules of the Australian Dispute Resolution Centre.</w:t>
      </w:r>
    </w:p>
    <w:p>
      <w:pPr>
        <w:numPr>
          <w:ilvl w:val="0"/>
          <w:numId w:val="1001"/>
        </w:numPr>
        <w:pStyle w:val="Compact"/>
      </w:pPr>
      <w:r>
        <w:t xml:space="preserve">Termination: Either party may terminate this engagement with fourteen (14) days written notice. In the event of termination, the client shall pay for all services rendered up to the date of termination.</w:t>
      </w:r>
    </w:p>
    <w:p>
      <w:pPr>
        <w:numPr>
          <w:ilvl w:val="0"/>
          <w:numId w:val="1001"/>
        </w:numPr>
        <w:pStyle w:val="Compact"/>
      </w:pPr>
      <w:r>
        <w:t xml:space="preserve">Insurance: Apex Digital Solutions Pty Ltd maintains Professional Indemnity Insurance of no less than AUD $10,000,000 and Public Liability Insurance of no less than AUD $20,000,000, as is standard practice for technology service providers in</w:t>
      </w:r>
      <w:r>
        <w:t xml:space="preserve"> </w:t>
      </w:r>
      <w:r>
        <w:t xml:space="preserve">Australia Sydney</w:t>
      </w:r>
      <w:r>
        <w:t xml:space="preserve">.</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Software Engineer</w:t>
      </w:r>
      <w:r>
        <w:t xml:space="preserve"> </w:t>
      </w:r>
      <w:r>
        <w:t xml:space="preserve">to deliver the services described herein in</w:t>
      </w:r>
      <w:r>
        <w:t xml:space="preserve"> </w:t>
      </w:r>
      <w:r>
        <w:t xml:space="preserve">Australia Sydney</w:t>
      </w:r>
      <w:r>
        <w:t xml:space="preserve">. This acceptance constitutes a binding agreement between the parties subject to the terms and conditions outlined above.</w:t>
      </w:r>
    </w:p>
    <w:p>
      <w:pPr>
        <w:pStyle w:val="BodyText"/>
      </w:pPr>
      <w:r>
        <w:rPr>
          <w:bCs/>
          <w:b/>
        </w:rPr>
        <w:t xml:space="preserve">For and on behalf of Apex Digital Solutions Pty Ltd:</w:t>
      </w:r>
    </w:p>
    <w:p>
      <w:pPr>
        <w:pStyle w:val="BodyText"/>
      </w:pPr>
      <w:r>
        <w:t xml:space="preserve">Name: James Whitfield</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Harbourview Technologies Ltd:</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Apex Digital Solutions Pty Ltd — ABN 48 123 456 789 — Level 12, 200 George Street, Sydney NSW 2000, Australia</w:t>
      </w:r>
      <w:r>
        <w:br/>
      </w:r>
      <w:r>
        <w:t xml:space="preserve">This Quotation Estimate QE-SYD-2025-0472 is the property of Apex Digital Solutions Pty Ltd and is issued exclusively for the attention of Harbourview Technologies Ltd.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Australia Sydney</dc:title>
  <dc:creator/>
  <dc:language>en</dc:language>
  <cp:keywords/>
  <dcterms:created xsi:type="dcterms:W3CDTF">2026-10-10T00:28:53Z</dcterms:created>
  <dcterms:modified xsi:type="dcterms:W3CDTF">2026-10-10T00:28:53Z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