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Software Engineer Services</w:t>
      </w:r>
    </w:p>
    <w:p>
      <w:pPr>
        <w:pStyle w:val="BodyText"/>
      </w:pPr>
      <w:r>
        <w:t xml:space="preserve">Chile Santiago — Metropolitan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QE-2025-CHL-0047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Andrés Morales, Senior Software Engineer — TechNova Solutions SpA</w:t>
            </w:r>
          </w:p>
        </w:tc>
      </w:tr>
      <w:tr>
        <w:tc>
          <w:tcPr/>
          <w:p>
            <w:pPr>
              <w:pStyle w:val="Compact"/>
              <w:jc w:val="left"/>
            </w:pPr>
            <w:r>
              <w:t xml:space="preserve">Client</w:t>
            </w:r>
          </w:p>
        </w:tc>
        <w:tc>
          <w:tcPr/>
          <w:p>
            <w:pPr>
              <w:pStyle w:val="Compact"/>
              <w:jc w:val="left"/>
            </w:pPr>
            <w:r>
              <w:t xml:space="preserve">Empresa Constructora del Pacífico Ltda.</w:t>
            </w:r>
          </w:p>
        </w:tc>
      </w:tr>
      <w:tr>
        <w:tc>
          <w:tcPr/>
          <w:p>
            <w:pPr>
              <w:pStyle w:val="Compact"/>
              <w:jc w:val="left"/>
            </w:pPr>
            <w:r>
              <w:t xml:space="preserve">Client Address</w:t>
            </w:r>
          </w:p>
        </w:tc>
        <w:tc>
          <w:tcPr/>
          <w:p>
            <w:pPr>
              <w:pStyle w:val="Compact"/>
              <w:jc w:val="left"/>
            </w:pPr>
            <w:r>
              <w:t xml:space="preserve">Av. Apoquindo 4501, Piso 12, Las Condes, Chile Santiago</w:t>
            </w:r>
          </w:p>
        </w:tc>
      </w:tr>
      <w:tr>
        <w:tc>
          <w:tcPr/>
          <w:p>
            <w:pPr>
              <w:pStyle w:val="Compact"/>
              <w:jc w:val="left"/>
            </w:pPr>
            <w:r>
              <w:t xml:space="preserve">Project Location</w:t>
            </w:r>
          </w:p>
        </w:tc>
        <w:tc>
          <w:tcPr/>
          <w:p>
            <w:pPr>
              <w:pStyle w:val="Compact"/>
              <w:jc w:val="left"/>
            </w:pPr>
            <w:r>
              <w:t xml:space="preserve">Chile Santiago, Región Metropolitana — On-site and Remote Hybrid</w:t>
            </w:r>
          </w:p>
        </w:tc>
      </w:tr>
      <w:tr>
        <w:tc>
          <w:tcPr/>
          <w:p>
            <w:pPr>
              <w:pStyle w:val="Compact"/>
              <w:jc w:val="left"/>
            </w:pPr>
            <w:r>
              <w:t xml:space="preserve">Currency</w:t>
            </w:r>
          </w:p>
        </w:tc>
        <w:tc>
          <w:tcPr/>
          <w:p>
            <w:pPr>
              <w:pStyle w:val="Compact"/>
              <w:jc w:val="left"/>
            </w:pPr>
            <w:r>
              <w:t xml:space="preserve">Chilean Peso (CLP) / US Dollar (USD)</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TechNova Solutions SpA, a registered technology firm operating in Chile Santiago, to provide comprehensive</w:t>
      </w:r>
      <w:r>
        <w:t xml:space="preserve"> </w:t>
      </w:r>
      <w:r>
        <w:t xml:space="preserve">Software Engineer</w:t>
      </w:r>
      <w:r>
        <w:t xml:space="preserve"> </w:t>
      </w:r>
      <w:r>
        <w:t xml:space="preserve">consulting and development services to Empresa Constructora del Pacífico Ltda. The scope of this engagement encompasses the design, development, testing, and deployment of a custom enterprise resource planning (ERP) module tailored to the construction industry. All services described in this</w:t>
      </w:r>
      <w:r>
        <w:t xml:space="preserve"> </w:t>
      </w:r>
      <w:r>
        <w:t xml:space="preserve">Quotation Estimate</w:t>
      </w:r>
      <w:r>
        <w:t xml:space="preserve"> </w:t>
      </w:r>
      <w:r>
        <w:t xml:space="preserve">will be delivered by a certified</w:t>
      </w:r>
      <w:r>
        <w:t xml:space="preserve"> </w:t>
      </w:r>
      <w:r>
        <w:t xml:space="preserve">Software Engineer</w:t>
      </w:r>
      <w:r>
        <w:t xml:space="preserve"> </w:t>
      </w:r>
      <w:r>
        <w:t xml:space="preserve">with a minimum of twelve years of professional experience in full-stack development, cloud architecture, and enterprise systems integration. The project will be executed primarily in Chile Santiago, with on-site presence at the client's Las Condes office for a minimum of three days per week, supplemented by remote collaboration during the remaining working hours.</w:t>
      </w:r>
    </w:p>
    <w:bookmarkEnd w:id="21"/>
    <w:bookmarkStart w:id="22" w:name="scope-of-services"/>
    <w:p>
      <w:pPr>
        <w:pStyle w:val="Heading2"/>
      </w:pPr>
      <w:r>
        <w:t xml:space="preserve">2. Scope of Services</w:t>
      </w:r>
    </w:p>
    <w:p>
      <w:pPr>
        <w:pStyle w:val="FirstParagraph"/>
      </w:pPr>
      <w:r>
        <w:t xml:space="preserve">The</w:t>
      </w:r>
      <w:r>
        <w:t xml:space="preserve"> </w:t>
      </w:r>
      <w:r>
        <w:t xml:space="preserve">Software Engineer</w:t>
      </w:r>
      <w:r>
        <w:t xml:space="preserve"> </w:t>
      </w:r>
      <w:r>
        <w:t xml:space="preserve">assigned to this project will deliver the following professional services as outlined in this</w:t>
      </w:r>
      <w:r>
        <w:t xml:space="preserve"> </w:t>
      </w:r>
      <w:r>
        <w:t xml:space="preserve">Quotation Estimate</w:t>
      </w:r>
      <w:r>
        <w:t xml:space="preserve">:</w:t>
      </w:r>
    </w:p>
    <w:p>
      <w:pPr>
        <w:numPr>
          <w:ilvl w:val="0"/>
          <w:numId w:val="1001"/>
        </w:numPr>
        <w:pStyle w:val="Compact"/>
      </w:pPr>
      <w:r>
        <w:rPr>
          <w:bCs/>
          <w:b/>
        </w:rPr>
        <w:t xml:space="preserve">Requirements Analysis &amp; System Design:</w:t>
      </w:r>
      <w:r>
        <w:t xml:space="preserve"> </w:t>
      </w:r>
      <w:r>
        <w:t xml:space="preserve">Conducting stakeholder interviews in Chile Santiago, producing detailed functional and non-functional specifications, and designing the system architecture including database schema, API contracts, and microservices topology.</w:t>
      </w:r>
    </w:p>
    <w:p>
      <w:pPr>
        <w:numPr>
          <w:ilvl w:val="0"/>
          <w:numId w:val="1001"/>
        </w:numPr>
        <w:pStyle w:val="Compact"/>
      </w:pPr>
      <w:r>
        <w:rPr>
          <w:bCs/>
          <w:b/>
        </w:rPr>
        <w:t xml:space="preserve">Full-Stack Development:</w:t>
      </w:r>
      <w:r>
        <w:t xml:space="preserve"> </w:t>
      </w:r>
      <w:r>
        <w:t xml:space="preserve">Implementing the front-end user interface using React.js and TypeScript, and the back-end services using Node.js and Python, deployed on AWS infrastructure with regional availability in Chile Santiago (ap-south-1).</w:t>
      </w:r>
    </w:p>
    <w:p>
      <w:pPr>
        <w:numPr>
          <w:ilvl w:val="0"/>
          <w:numId w:val="1001"/>
        </w:numPr>
        <w:pStyle w:val="Compact"/>
      </w:pPr>
      <w:r>
        <w:rPr>
          <w:bCs/>
          <w:b/>
        </w:rPr>
        <w:t xml:space="preserve">Database Engineering:</w:t>
      </w:r>
      <w:r>
        <w:t xml:space="preserve"> </w:t>
      </w:r>
      <w:r>
        <w:t xml:space="preserve">Designing and optimizing PostgreSQL databases, implementing data migration strategies from the client's legacy Oracle system, and ensuring data integrity across all modules.</w:t>
      </w:r>
    </w:p>
    <w:p>
      <w:pPr>
        <w:numPr>
          <w:ilvl w:val="0"/>
          <w:numId w:val="1001"/>
        </w:numPr>
        <w:pStyle w:val="Compact"/>
      </w:pPr>
      <w:r>
        <w:rPr>
          <w:bCs/>
          <w:b/>
        </w:rPr>
        <w:t xml:space="preserve">Quality Assurance &amp; Testing:</w:t>
      </w:r>
      <w:r>
        <w:t xml:space="preserve"> </w:t>
      </w:r>
      <w:r>
        <w:t xml:space="preserve">Writing and executing unit tests, integration tests, and end-to-end automated test suites. The</w:t>
      </w:r>
      <w:r>
        <w:t xml:space="preserve"> </w:t>
      </w:r>
      <w:r>
        <w:t xml:space="preserve">Software Engineer</w:t>
      </w:r>
      <w:r>
        <w:t xml:space="preserve"> </w:t>
      </w:r>
      <w:r>
        <w:t xml:space="preserve">will ensure a minimum code coverage of 85% before any release candidate is submitted for user acceptance testing.</w:t>
      </w:r>
    </w:p>
    <w:p>
      <w:pPr>
        <w:numPr>
          <w:ilvl w:val="0"/>
          <w:numId w:val="1001"/>
        </w:numPr>
        <w:pStyle w:val="Compact"/>
      </w:pPr>
      <w:r>
        <w:rPr>
          <w:bCs/>
          <w:b/>
        </w:rPr>
        <w:t xml:space="preserve">Deployment &amp; DevOps:</w:t>
      </w:r>
      <w:r>
        <w:t xml:space="preserve"> </w:t>
      </w:r>
      <w:r>
        <w:t xml:space="preserve">Configuring CI/CD pipelines using GitHub Actions, setting up containerized deployments with Docker and Kubernetes, and establishing monitoring and alerting systems via Grafana and Prometheus.</w:t>
      </w:r>
    </w:p>
    <w:p>
      <w:pPr>
        <w:numPr>
          <w:ilvl w:val="0"/>
          <w:numId w:val="1001"/>
        </w:numPr>
        <w:pStyle w:val="Compact"/>
      </w:pPr>
      <w:r>
        <w:rPr>
          <w:bCs/>
          <w:b/>
        </w:rPr>
        <w:t xml:space="preserve">Documentation &amp; Knowledge Transfer:</w:t>
      </w:r>
      <w:r>
        <w:t xml:space="preserve"> </w:t>
      </w:r>
      <w:r>
        <w:t xml:space="preserve">Producing comprehensive technical documentation, API reference guides, and conducting training sessions for the client's internal IT team in Chile Santiago.</w:t>
      </w:r>
    </w:p>
    <w:p>
      <w:pPr>
        <w:numPr>
          <w:ilvl w:val="0"/>
          <w:numId w:val="1001"/>
        </w:numPr>
        <w:pStyle w:val="Compact"/>
      </w:pPr>
      <w:r>
        <w:rPr>
          <w:bCs/>
          <w:b/>
        </w:rPr>
        <w:t xml:space="preserve">Ongoing Support &amp; Maintenance:</w:t>
      </w:r>
      <w:r>
        <w:t xml:space="preserve"> </w:t>
      </w:r>
      <w:r>
        <w:t xml:space="preserve">Providing a 90-day post-deployment support window covering bug fixes, performance tuning, and minor feature enhancements.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(CLP/hr)</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Requirements Analysis &amp; System Design</w:t>
            </w:r>
          </w:p>
        </w:tc>
        <w:tc>
          <w:tcPr/>
          <w:p>
            <w:pPr>
              <w:pStyle w:val="Compact"/>
              <w:jc w:val="left"/>
            </w:pPr>
            <w:r>
              <w:t xml:space="preserve">40 hrs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t xml:space="preserve">Full-Stack Development (Front-end &amp; Back-end)</w:t>
            </w:r>
          </w:p>
        </w:tc>
        <w:tc>
          <w:tcPr/>
          <w:p>
            <w:pPr>
              <w:pStyle w:val="Compact"/>
              <w:jc w:val="left"/>
            </w:pPr>
            <w:r>
              <w:t xml:space="preserve">220 hrs</w:t>
            </w:r>
          </w:p>
        </w:tc>
        <w:tc>
          <w:tcPr/>
          <w:p>
            <w:pPr>
              <w:pStyle w:val="Compact"/>
              <w:jc w:val="left"/>
            </w:pPr>
            <w:r>
              <w:t xml:space="preserve">85,000</w:t>
            </w:r>
          </w:p>
        </w:tc>
        <w:tc>
          <w:tcPr/>
          <w:p>
            <w:pPr>
              <w:pStyle w:val="Compact"/>
              <w:jc w:val="left"/>
            </w:pPr>
            <w:r>
              <w:t xml:space="preserve">18,700,000</w:t>
            </w:r>
          </w:p>
        </w:tc>
      </w:tr>
      <w:tr>
        <w:tc>
          <w:tcPr/>
          <w:p>
            <w:pPr>
              <w:pStyle w:val="Compact"/>
              <w:jc w:val="left"/>
            </w:pPr>
            <w:r>
              <w:t xml:space="preserve">3</w:t>
            </w:r>
          </w:p>
        </w:tc>
        <w:tc>
          <w:tcPr/>
          <w:p>
            <w:pPr>
              <w:pStyle w:val="Compact"/>
              <w:jc w:val="left"/>
            </w:pPr>
            <w:r>
              <w:t xml:space="preserve">Database Engineering &amp; Migration</w:t>
            </w:r>
          </w:p>
        </w:tc>
        <w:tc>
          <w:tcPr/>
          <w:p>
            <w:pPr>
              <w:pStyle w:val="Compact"/>
              <w:jc w:val="left"/>
            </w:pPr>
            <w:r>
              <w:t xml:space="preserve">60 hrs</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4</w:t>
            </w:r>
          </w:p>
        </w:tc>
        <w:tc>
          <w:tcPr/>
          <w:p>
            <w:pPr>
              <w:pStyle w:val="Compact"/>
              <w:jc w:val="left"/>
            </w:pPr>
            <w:r>
              <w:t xml:space="preserve">Quality Assurance &amp; Automated Testing</w:t>
            </w:r>
          </w:p>
        </w:tc>
        <w:tc>
          <w:tcPr/>
          <w:p>
            <w:pPr>
              <w:pStyle w:val="Compact"/>
              <w:jc w:val="left"/>
            </w:pPr>
            <w:r>
              <w:t xml:space="preserve">80 hrs</w:t>
            </w:r>
          </w:p>
        </w:tc>
        <w:tc>
          <w:tcPr/>
          <w:p>
            <w:pPr>
              <w:pStyle w:val="Compact"/>
              <w:jc w:val="left"/>
            </w:pPr>
            <w:r>
              <w:t xml:space="preserve">78,000</w:t>
            </w:r>
          </w:p>
        </w:tc>
        <w:tc>
          <w:tcPr/>
          <w:p>
            <w:pPr>
              <w:pStyle w:val="Compact"/>
              <w:jc w:val="left"/>
            </w:pPr>
            <w:r>
              <w:t xml:space="preserve">6,240,000</w:t>
            </w:r>
          </w:p>
        </w:tc>
      </w:tr>
      <w:tr>
        <w:tc>
          <w:tcPr/>
          <w:p>
            <w:pPr>
              <w:pStyle w:val="Compact"/>
              <w:jc w:val="left"/>
            </w:pPr>
            <w:r>
              <w:t xml:space="preserve">5</w:t>
            </w:r>
          </w:p>
        </w:tc>
        <w:tc>
          <w:tcPr/>
          <w:p>
            <w:pPr>
              <w:pStyle w:val="Compact"/>
              <w:jc w:val="left"/>
            </w:pPr>
            <w:r>
              <w:t xml:space="preserve">DevOps, CI/CD &amp; Cloud Deployment</w:t>
            </w:r>
          </w:p>
        </w:tc>
        <w:tc>
          <w:tcPr/>
          <w:p>
            <w:pPr>
              <w:pStyle w:val="Compact"/>
              <w:jc w:val="left"/>
            </w:pPr>
            <w:r>
              <w:t xml:space="preserve">50 hrs</w:t>
            </w:r>
          </w:p>
        </w:tc>
        <w:tc>
          <w:tcPr/>
          <w:p>
            <w:pPr>
              <w:pStyle w:val="Compact"/>
              <w:jc w:val="left"/>
            </w:pPr>
            <w:r>
              <w:t xml:space="preserve">85,000</w:t>
            </w:r>
          </w:p>
        </w:tc>
        <w:tc>
          <w:tcPr/>
          <w:p>
            <w:pPr>
              <w:pStyle w:val="Compact"/>
              <w:jc w:val="left"/>
            </w:pPr>
            <w:r>
              <w:t xml:space="preserve">4,250,000</w:t>
            </w:r>
          </w:p>
        </w:tc>
      </w:tr>
      <w:tr>
        <w:tc>
          <w:tcPr/>
          <w:p>
            <w:pPr>
              <w:pStyle w:val="Compact"/>
              <w:jc w:val="left"/>
            </w:pPr>
            <w:r>
              <w:t xml:space="preserve">6</w:t>
            </w:r>
          </w:p>
        </w:tc>
        <w:tc>
          <w:tcPr/>
          <w:p>
            <w:pPr>
              <w:pStyle w:val="Compact"/>
              <w:jc w:val="left"/>
            </w:pPr>
            <w:r>
              <w:t xml:space="preserve">Documentation &amp; Knowledge Transfer Sessions</w:t>
            </w:r>
          </w:p>
        </w:tc>
        <w:tc>
          <w:tcPr/>
          <w:p>
            <w:pPr>
              <w:pStyle w:val="Compact"/>
              <w:jc w:val="left"/>
            </w:pPr>
            <w:r>
              <w:t xml:space="preserve">30 hrs</w:t>
            </w:r>
          </w:p>
        </w:tc>
        <w:tc>
          <w:tcPr/>
          <w:p>
            <w:pPr>
              <w:pStyle w:val="Compact"/>
              <w:jc w:val="left"/>
            </w:pPr>
            <w:r>
              <w:t xml:space="preserve">72,000</w:t>
            </w:r>
          </w:p>
        </w:tc>
        <w:tc>
          <w:tcPr/>
          <w:p>
            <w:pPr>
              <w:pStyle w:val="Compact"/>
              <w:jc w:val="left"/>
            </w:pPr>
            <w:r>
              <w:t xml:space="preserve">2,160,000</w:t>
            </w:r>
          </w:p>
        </w:tc>
      </w:tr>
      <w:tr>
        <w:tc>
          <w:tcPr/>
          <w:p>
            <w:pPr>
              <w:pStyle w:val="Compact"/>
              <w:jc w:val="left"/>
            </w:pPr>
            <w:r>
              <w:t xml:space="preserve">7</w:t>
            </w:r>
          </w:p>
        </w:tc>
        <w:tc>
          <w:tcPr/>
          <w:p>
            <w:pPr>
              <w:pStyle w:val="Compact"/>
              <w:jc w:val="left"/>
            </w:pPr>
            <w:r>
              <w:t xml:space="preserve">Post-Deployment Support (90 days)</w:t>
            </w:r>
          </w:p>
        </w:tc>
        <w:tc>
          <w:tcPr/>
          <w:p>
            <w:pPr>
              <w:pStyle w:val="Compact"/>
              <w:jc w:val="left"/>
            </w:pPr>
            <w:r>
              <w:t xml:space="preserve">40 hrs</w:t>
            </w:r>
          </w:p>
        </w:tc>
        <w:tc>
          <w:tcPr/>
          <w:p>
            <w:pPr>
              <w:pStyle w:val="Compact"/>
              <w:jc w:val="left"/>
            </w:pPr>
            <w:r>
              <w:t xml:space="preserve">75,000</w:t>
            </w:r>
          </w:p>
        </w:tc>
        <w:tc>
          <w:tcPr/>
          <w:p>
            <w:pPr>
              <w:pStyle w:val="Compact"/>
              <w:jc w:val="left"/>
            </w:pPr>
            <w:r>
              <w:t xml:space="preserve">3,000,000</w:t>
            </w:r>
          </w:p>
        </w:tc>
      </w:tr>
      <w:tr>
        <w:tc>
          <w:tcPr/>
          <w:p>
            <w:pPr>
              <w:pStyle w:val="Compact"/>
              <w:jc w:val="left"/>
            </w:pPr>
            <w:r>
              <w:t xml:space="preserve">8</w:t>
            </w:r>
          </w:p>
        </w:tc>
        <w:tc>
          <w:tcPr/>
          <w:p>
            <w:pPr>
              <w:pStyle w:val="Compact"/>
              <w:jc w:val="left"/>
            </w:pPr>
            <w:r>
              <w:t xml:space="preserve">Travel &amp; Local Transportation (Chile Santiago)</w:t>
            </w:r>
          </w:p>
        </w:tc>
        <w:tc>
          <w:tcPr/>
          <w:p>
            <w:pPr>
              <w:pStyle w:val="Compact"/>
              <w:jc w:val="left"/>
            </w:pPr>
            <w:r>
              <w:t xml:space="preserve">Flat</w:t>
            </w:r>
          </w:p>
        </w:tc>
        <w:tc>
          <w:tcPr/>
          <w:p>
            <w:pPr>
              <w:pStyle w:val="Compact"/>
              <w:jc w:val="left"/>
            </w:pPr>
            <w:r>
              <w:t xml:space="preserve">—</w:t>
            </w:r>
          </w:p>
        </w:tc>
        <w:tc>
          <w:tcPr/>
          <w:p>
            <w:pPr>
              <w:pStyle w:val="Compact"/>
              <w:jc w:val="left"/>
            </w:pPr>
            <w:r>
              <w:t xml:space="preserve">450,000</w:t>
            </w:r>
          </w:p>
        </w:tc>
      </w:tr>
      <w:tr>
        <w:tc>
          <w:tcPr>
            <w:gridSpan w:val="4"/>
          </w:tcPr>
          <w:p>
            <w:pPr>
              <w:pStyle w:val="Compact"/>
              <w:jc w:val="left"/>
            </w:pPr>
            <w:r>
              <w:t xml:space="preserve">Subtotal</w:t>
            </w:r>
          </w:p>
        </w:tc>
        <w:tc>
          <w:tcPr/>
          <w:p>
            <w:pPr>
              <w:pStyle w:val="Compact"/>
              <w:jc w:val="left"/>
            </w:pPr>
            <w:r>
              <w:t xml:space="preserve">47,300,000</w:t>
            </w:r>
          </w:p>
        </w:tc>
      </w:tr>
      <w:tr>
        <w:tc>
          <w:tcPr>
            <w:gridSpan w:val="4"/>
          </w:tcPr>
          <w:p>
            <w:pPr>
              <w:pStyle w:val="Compact"/>
              <w:jc w:val="left"/>
            </w:pPr>
            <w:r>
              <w:t xml:space="preserve">IVA (19% VAT — Chile)</w:t>
            </w:r>
          </w:p>
        </w:tc>
        <w:tc>
          <w:tcPr/>
          <w:p>
            <w:pPr>
              <w:pStyle w:val="Compact"/>
              <w:jc w:val="left"/>
            </w:pPr>
            <w:r>
              <w:t xml:space="preserve">8,987,000</w:t>
            </w:r>
          </w:p>
        </w:tc>
      </w:tr>
      <w:tr>
        <w:tc>
          <w:tcPr>
            <w:gridSpan w:val="4"/>
          </w:tcPr>
          <w:p>
            <w:pPr>
              <w:pStyle w:val="Compact"/>
              <w:jc w:val="left"/>
            </w:pPr>
            <w:r>
              <w:t xml:space="preserve">TOTAL (CLP)</w:t>
            </w:r>
          </w:p>
        </w:tc>
        <w:tc>
          <w:tcPr/>
          <w:p>
            <w:pPr>
              <w:pStyle w:val="Compact"/>
              <w:jc w:val="left"/>
            </w:pPr>
            <w:r>
              <w:t xml:space="preserve">56,287,000</w:t>
            </w:r>
          </w:p>
        </w:tc>
      </w:tr>
      <w:tr>
        <w:tc>
          <w:tcPr>
            <w:gridSpan w:val="4"/>
          </w:tcPr>
          <w:p>
            <w:pPr>
              <w:pStyle w:val="Compact"/>
              <w:jc w:val="left"/>
            </w:pPr>
            <w:r>
              <w:t xml:space="preserve">TOTAL (USD equivalent at 950 CLP/USD)</w:t>
            </w:r>
          </w:p>
        </w:tc>
        <w:tc>
          <w:tcPr/>
          <w:p>
            <w:pPr>
              <w:pStyle w:val="Compact"/>
              <w:jc w:val="left"/>
            </w:pPr>
            <w:r>
              <w:t xml:space="preserve">$59,249.47</w:t>
            </w:r>
          </w:p>
        </w:tc>
      </w:tr>
    </w:tbl>
    <w:bookmarkEnd w:id="23"/>
    <w:bookmarkStart w:id="24" w:name="payment-schedule"/>
    <w:p>
      <w:pPr>
        <w:pStyle w:val="Heading2"/>
      </w:pPr>
      <w:r>
        <w:t xml:space="preserve">4. Payment Schedule</w:t>
      </w:r>
    </w:p>
    <w:p>
      <w:pPr>
        <w:pStyle w:val="FirstParagraph"/>
      </w:pPr>
      <w:r>
        <w:t xml:space="preserve">Payment for the services described in this</w:t>
      </w:r>
      <w:r>
        <w:t xml:space="preserve"> </w:t>
      </w:r>
      <w:r>
        <w:t xml:space="preserve">Quotation Estimate</w:t>
      </w:r>
      <w:r>
        <w:t xml:space="preserve"> </w:t>
      </w:r>
      <w:r>
        <w:t xml:space="preserve">shall be made in four installments as follows:</w:t>
      </w:r>
    </w:p>
    <w:p>
      <w:pPr>
        <w:numPr>
          <w:ilvl w:val="0"/>
          <w:numId w:val="1002"/>
        </w:numPr>
        <w:pStyle w:val="Compact"/>
      </w:pPr>
      <w:r>
        <w:rPr>
          <w:bCs/>
          <w:b/>
        </w:rPr>
        <w:t xml:space="preserve">30% (CLP 16,886,100):</w:t>
      </w:r>
      <w:r>
        <w:t xml:space="preserve"> </w:t>
      </w:r>
      <w:r>
        <w:t xml:space="preserve">Due upon signed acceptance of this Quotation Estimate and project kickoff.</w:t>
      </w:r>
    </w:p>
    <w:p>
      <w:pPr>
        <w:numPr>
          <w:ilvl w:val="0"/>
          <w:numId w:val="1002"/>
        </w:numPr>
        <w:pStyle w:val="Compact"/>
      </w:pPr>
      <w:r>
        <w:rPr>
          <w:bCs/>
          <w:b/>
        </w:rPr>
        <w:t xml:space="preserve">30% (CLP 16,886,100):</w:t>
      </w:r>
      <w:r>
        <w:t xml:space="preserve"> </w:t>
      </w:r>
      <w:r>
        <w:t xml:space="preserve">Due upon completion of the development phase and submission of the first release candidate.</w:t>
      </w:r>
    </w:p>
    <w:p>
      <w:pPr>
        <w:numPr>
          <w:ilvl w:val="0"/>
          <w:numId w:val="1002"/>
        </w:numPr>
        <w:pStyle w:val="Compact"/>
      </w:pPr>
      <w:r>
        <w:rPr>
          <w:bCs/>
          <w:b/>
        </w:rPr>
        <w:t xml:space="preserve">25% (CLP 14,071,750):</w:t>
      </w:r>
      <w:r>
        <w:t xml:space="preserve"> </w:t>
      </w:r>
      <w:r>
        <w:t xml:space="preserve">Due upon successful user acceptance testing (UAT) sign-off in Chile Santiago.</w:t>
      </w:r>
    </w:p>
    <w:p>
      <w:pPr>
        <w:numPr>
          <w:ilvl w:val="0"/>
          <w:numId w:val="1002"/>
        </w:numPr>
        <w:pStyle w:val="Compact"/>
      </w:pPr>
      <w:r>
        <w:rPr>
          <w:bCs/>
          <w:b/>
        </w:rPr>
        <w:t xml:space="preserve">15% (CLP 8,443,050):</w:t>
      </w:r>
      <w:r>
        <w:t xml:space="preserve"> </w:t>
      </w:r>
      <w:r>
        <w:t xml:space="preserve">Due upon final deployment, delivery of all documentation, and completion of the 90-day support period.</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this period, rates and availability of the designated</w:t>
      </w:r>
      <w:r>
        <w:t xml:space="preserve"> </w:t>
      </w:r>
      <w:r>
        <w:t xml:space="preserve">Software Engineer</w:t>
      </w:r>
      <w:r>
        <w:t xml:space="preserve"> </w:t>
      </w:r>
      <w:r>
        <w:t xml:space="preserve">are subject to re-evaluation.</w:t>
      </w:r>
    </w:p>
    <w:p>
      <w:pPr>
        <w:numPr>
          <w:ilvl w:val="0"/>
          <w:numId w:val="1003"/>
        </w:numPr>
        <w:pStyle w:val="Compact"/>
      </w:pPr>
      <w:r>
        <w:t xml:space="preserve">All intellectual property produced under this engagement shall transfer to the client upon full payment. TechNova Solutions SpA retains the right to reference the project in its portfolio with prior written consent.</w:t>
      </w:r>
    </w:p>
    <w:p>
      <w:pPr>
        <w:numPr>
          <w:ilvl w:val="0"/>
          <w:numId w:val="1003"/>
        </w:numPr>
        <w:pStyle w:val="Compact"/>
      </w:pPr>
      <w:r>
        <w:t xml:space="preserve">The</w:t>
      </w:r>
      <w:r>
        <w:t xml:space="preserve"> </w:t>
      </w:r>
      <w:r>
        <w:t xml:space="preserve">Software Engineer</w:t>
      </w:r>
      <w:r>
        <w:t xml:space="preserve"> </w:t>
      </w:r>
      <w:r>
        <w:t xml:space="preserve">shall comply with all applicable Chilean labor regulations, data protection laws (Ley 19.628), and tax obligations while performing services in Chile Santiago.</w:t>
      </w:r>
    </w:p>
    <w:p>
      <w:pPr>
        <w:numPr>
          <w:ilvl w:val="0"/>
          <w:numId w:val="1003"/>
        </w:numPr>
        <w:pStyle w:val="Compact"/>
      </w:pPr>
      <w:r>
        <w:t xml:space="preserve">Any scope changes exceeding 10% of the originally estimated hours will require a formal change order and a revised Quotation Estimate before additional work commences.</w:t>
      </w:r>
    </w:p>
    <w:p>
      <w:pPr>
        <w:numPr>
          <w:ilvl w:val="0"/>
          <w:numId w:val="1003"/>
        </w:numPr>
        <w:pStyle w:val="Compact"/>
      </w:pPr>
      <w:r>
        <w:t xml:space="preserve">Confidentiality: Both parties agree to maintain strict confidentiality of all proprietary information exchanged during the project, as governed by a separate Non-Disclosure Agreement (NDA) to be executed prior to project start.</w:t>
      </w:r>
    </w:p>
    <w:p>
      <w:pPr>
        <w:numPr>
          <w:ilvl w:val="0"/>
          <w:numId w:val="1003"/>
        </w:numPr>
        <w:pStyle w:val="Compact"/>
      </w:pPr>
      <w:r>
        <w:t xml:space="preserve">Force Majeure: Neither party shall be liable for delays caused by events beyond reasonable control, including but not limited to natural disasters, government mandates, or infrastructure failures affecting the Chile Santiago metropolitan area.</w:t>
      </w:r>
    </w:p>
    <w:p>
      <w:pPr>
        <w:numPr>
          <w:ilvl w:val="0"/>
          <w:numId w:val="1003"/>
        </w:numPr>
        <w:pStyle w:val="Compact"/>
      </w:pPr>
      <w:r>
        <w:t xml:space="preserve">Governing Law: This Quotation Estimate and any resulting contract shall be governed by the laws of the Republic of Chile. Disputes shall be resolved through arbitration in Chile Santiago in accordance with the rules of the Cámara de Comercio de Santiago.</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 designated</w:t>
      </w:r>
      <w:r>
        <w:t xml:space="preserve"> </w:t>
      </w:r>
      <w:r>
        <w:t xml:space="preserve">Software Engineer</w:t>
      </w:r>
      <w:r>
        <w:t xml:space="preserve"> </w:t>
      </w:r>
      <w:r>
        <w:t xml:space="preserve">in Chile Santiago.</w:t>
      </w:r>
    </w:p>
    <w:p>
      <w:pPr>
        <w:pStyle w:val="BodyText"/>
      </w:pPr>
      <w:r>
        <w:rPr>
          <w:bCs/>
          <w:b/>
        </w:rPr>
        <w:t xml:space="preserve">For TechNova Solutions SpA</w:t>
      </w:r>
      <w:r>
        <w:br/>
      </w:r>
      <w:r>
        <w:t xml:space="preserve">Andrés Morales — Senior Software Engineer</w:t>
      </w:r>
      <w:r>
        <w:br/>
      </w:r>
      <w:r>
        <w:t xml:space="preserve">Name / Signature / Date</w:t>
      </w:r>
    </w:p>
    <w:p>
      <w:pPr>
        <w:pStyle w:val="BodyText"/>
      </w:pPr>
      <w:r>
        <w:rPr>
          <w:bCs/>
          <w:b/>
        </w:rPr>
        <w:t xml:space="preserve">For Empresa Constructora del Pacífico Ltda.</w:t>
      </w:r>
      <w:r>
        <w:br/>
      </w:r>
      <w:r>
        <w:t xml:space="preserve">Authorized Representative</w:t>
      </w:r>
      <w:r>
        <w:br/>
      </w:r>
      <w:r>
        <w:t xml:space="preserve">Name / Signature / Date</w:t>
      </w:r>
    </w:p>
    <w:p>
      <w:pPr>
        <w:pStyle w:val="BodyText"/>
      </w:pPr>
      <w:r>
        <w:t xml:space="preserve">TechNova Solutions SpA — RUT: 77.123.456-8 — Av. Providencia 1234, Of. 501, Providencia, Chile Santiago</w:t>
      </w:r>
    </w:p>
    <w:p>
      <w:pPr>
        <w:pStyle w:val="BodyText"/>
      </w:pPr>
      <w:r>
        <w:t xml:space="preserve">Contact: comercial@technova.cl — +56 2 2345 6789</w:t>
      </w:r>
    </w:p>
    <w:p>
      <w:pPr>
        <w:pStyle w:val="BodyText"/>
      </w:pPr>
      <w:r>
        <w:t xml:space="preserve">This Quotation Estimate document is generated electronically and does not require a physical signature to be valid. Document ID: QE-2025-CHL-0047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Chile Santiago</dc:title>
  <dc:creator/>
  <dc:language>en</dc:language>
  <cp:keywords/>
  <dcterms:created xsi:type="dcterms:W3CDTF">2026-10-10T03:56:50Z</dcterms:created>
  <dcterms:modified xsi:type="dcterms:W3CDTF">2026-10-10T03:56:50Z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