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Software Engineer Services</w:t>
      </w:r>
    </w:p>
    <w:p>
      <w:pPr>
        <w:pStyle w:val="BodyText"/>
      </w:pPr>
      <w:r>
        <w:t xml:space="preserve">Prepared for Deployment in Ivory Coast Abidjan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QTE-2025-IVC-ABJ-0047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date of issue)</w:t>
            </w:r>
          </w:p>
        </w:tc>
      </w:tr>
      <w:tr>
        <w:tc>
          <w:tcPr/>
          <w:p>
            <w:pPr>
              <w:pStyle w:val="Compact"/>
              <w:jc w:val="left"/>
            </w:pPr>
            <w:r>
              <w:t xml:space="preserve">Prepared By</w:t>
            </w:r>
          </w:p>
        </w:tc>
        <w:tc>
          <w:tcPr/>
          <w:p>
            <w:pPr>
              <w:pStyle w:val="Compact"/>
              <w:jc w:val="left"/>
            </w:pPr>
            <w:r>
              <w:t xml:space="preserve">TechBridge Solutions Ltd. – Abidjan Office, Cocody, Ivory Coast</w:t>
            </w:r>
          </w:p>
        </w:tc>
      </w:tr>
      <w:tr>
        <w:tc>
          <w:tcPr/>
          <w:p>
            <w:pPr>
              <w:pStyle w:val="Compact"/>
              <w:jc w:val="left"/>
            </w:pPr>
            <w:r>
              <w:t xml:space="preserve">Prepared For</w:t>
            </w:r>
          </w:p>
        </w:tc>
        <w:tc>
          <w:tcPr/>
          <w:p>
            <w:pPr>
              <w:pStyle w:val="Compact"/>
              <w:jc w:val="left"/>
            </w:pPr>
            <w:r>
              <w:t xml:space="preserve">Client Name / Organization (to be confirmed)</w:t>
            </w:r>
          </w:p>
        </w:tc>
      </w:tr>
      <w:tr>
        <w:tc>
          <w:tcPr/>
          <w:p>
            <w:pPr>
              <w:pStyle w:val="Compact"/>
              <w:jc w:val="left"/>
            </w:pPr>
            <w:r>
              <w:t xml:space="preserve">Project Location</w:t>
            </w:r>
          </w:p>
        </w:tc>
        <w:tc>
          <w:tcPr/>
          <w:p>
            <w:pPr>
              <w:pStyle w:val="Compact"/>
              <w:jc w:val="left"/>
            </w:pPr>
            <w:r>
              <w:t xml:space="preserve">Abidjan, Ivory Coast (Côte d'Ivoire)</w:t>
            </w:r>
          </w:p>
        </w:tc>
      </w:tr>
      <w:tr>
        <w:tc>
          <w:tcPr/>
          <w:p>
            <w:pPr>
              <w:pStyle w:val="Compact"/>
              <w:jc w:val="left"/>
            </w:pPr>
            <w:r>
              <w:t xml:space="preserve">Engagement Type</w:t>
            </w:r>
          </w:p>
        </w:tc>
        <w:tc>
          <w:tcPr/>
          <w:p>
            <w:pPr>
              <w:pStyle w:val="Compact"/>
              <w:jc w:val="left"/>
            </w:pPr>
            <w:r>
              <w:t xml:space="preserve">Full-Time Software Engineer – On-Site &amp; Hybrid</w:t>
            </w:r>
          </w:p>
        </w:tc>
      </w:tr>
    </w:tbl>
    <w:bookmarkStart w:id="21" w:name="executive-summary"/>
    <w:p>
      <w:pPr>
        <w:pStyle w:val="Heading2"/>
      </w:pPr>
      <w:r>
        <w:t xml:space="preserve">1. Executive Summary</w:t>
      </w:r>
    </w:p>
    <w:p>
      <w:pPr>
        <w:pStyle w:val="FirstParagraph"/>
      </w:pPr>
      <w:r>
        <w:t xml:space="preserve">This Quotation Estimate is formally issued by TechBridge Solutions Ltd. to provide a comprehensive cost breakdown for the recruitment, onboarding, and ongoing engagement of a qualified Software Engineer based in Ivory Coast Abidjan. This document outlines all professional fees, resource allocations, and associated costs required to deliver a fully operational Software Engineer to your organization within the Abidjan metropolitan area. The Quotation Estimate has been carefully structured to reflect current market rates in Ivory Coast Abidjan, local regulatory requirements, and the specific technical competencies demanded by modern software development environments.</w:t>
      </w:r>
    </w:p>
    <w:bookmarkEnd w:id="21"/>
    <w:bookmarkStart w:id="22" w:name="scope-of-services"/>
    <w:p>
      <w:pPr>
        <w:pStyle w:val="Heading2"/>
      </w:pPr>
      <w:r>
        <w:t xml:space="preserve">2. Scope of Services</w:t>
      </w:r>
    </w:p>
    <w:p>
      <w:pPr>
        <w:pStyle w:val="FirstParagraph"/>
      </w:pPr>
      <w:r>
        <w:t xml:space="preserve">The Software Engineer engagement described in this Quotation Estimate encompasses the following deliverables and responsibilities:</w:t>
      </w:r>
    </w:p>
    <w:p>
      <w:pPr>
        <w:numPr>
          <w:ilvl w:val="0"/>
          <w:numId w:val="1001"/>
        </w:numPr>
        <w:pStyle w:val="Compact"/>
      </w:pPr>
      <w:r>
        <w:t xml:space="preserve">Full-cycle software development including requirements analysis, architecture design, coding, unit testing, and deployment of web-based and mobile applications.</w:t>
      </w:r>
    </w:p>
    <w:p>
      <w:pPr>
        <w:numPr>
          <w:ilvl w:val="0"/>
          <w:numId w:val="1001"/>
        </w:numPr>
        <w:pStyle w:val="Compact"/>
      </w:pPr>
      <w:r>
        <w:t xml:space="preserve">Integration of third-party APIs, cloud services (AWS, Azure, GCP), and enterprise resource planning (ERP) systems relevant to the Ivory Coast Abidjan business ecosystem.</w:t>
      </w:r>
    </w:p>
    <w:p>
      <w:pPr>
        <w:numPr>
          <w:ilvl w:val="0"/>
          <w:numId w:val="1001"/>
        </w:numPr>
        <w:pStyle w:val="Compact"/>
      </w:pPr>
      <w:r>
        <w:t xml:space="preserve">Ongoing maintenance, bug resolution, performance optimization, and technical documentation for all software deliverables.</w:t>
      </w:r>
    </w:p>
    <w:p>
      <w:pPr>
        <w:numPr>
          <w:ilvl w:val="0"/>
          <w:numId w:val="1001"/>
        </w:numPr>
        <w:pStyle w:val="Compact"/>
      </w:pPr>
      <w:r>
        <w:t xml:space="preserve">Participation in agile sprint planning, code reviews, and cross-functional team meetings conducted in English and/or French, consistent with the bilingual professional environment of Ivory Coast Abidjan.</w:t>
      </w:r>
    </w:p>
    <w:p>
      <w:pPr>
        <w:numPr>
          <w:ilvl w:val="0"/>
          <w:numId w:val="1001"/>
        </w:numPr>
        <w:pStyle w:val="Compact"/>
      </w:pPr>
      <w:r>
        <w:t xml:space="preserve">Compliance with local data protection regulations under the Ivorian Authority for Data Protection (ADP) and adherence to cybersecurity best practices applicable in Ivory Coast Abidjan.</w:t>
      </w:r>
    </w:p>
    <w:p>
      <w:pPr>
        <w:numPr>
          <w:ilvl w:val="0"/>
          <w:numId w:val="1001"/>
        </w:numPr>
        <w:pStyle w:val="Compact"/>
      </w:pPr>
      <w:r>
        <w:t xml:space="preserve">Availability for on-site work at the client's premises in Abidjan (minimum 3 days per week) with the remaining days allocated to remote or hybrid work arrangements.</w:t>
      </w:r>
    </w:p>
    <w:bookmarkEnd w:id="22"/>
    <w:bookmarkStart w:id="23" w:name="software-engineer-profile-qualifications"/>
    <w:p>
      <w:pPr>
        <w:pStyle w:val="Heading2"/>
      </w:pPr>
      <w:r>
        <w:t xml:space="preserve">3. Software Engineer Profile &amp; Qualifications</w:t>
      </w:r>
    </w:p>
    <w:p>
      <w:pPr>
        <w:pStyle w:val="FirstParagraph"/>
      </w:pPr>
      <w:r>
        <w:t xml:space="preserve">The Software Engineer proposed under this Quotation Estimate will possess a minimum of five (5) years of professional experience in full-stack development. The candidate will hold a Bachelor's or Master's degree in Computer Science, Software Engineering, or a related discipline from a recognized institution in Ivory Coast Abidjan or an internationally accredited university. Proficiency in Java, Python, JavaScript/TypeScript, React, Node.js, and SQL/NoSQL databases is mandatory. The Software Engineer will also demonstrate familiarity with DevOps pipelines, containerization (Docker, Kubernetes), and microservices architecture. Fluency in both English and French is required to ensure seamless communication within the Ivory Coast Abidjan professional community.</w:t>
      </w:r>
    </w:p>
    <w:bookmarkEnd w:id="23"/>
    <w:bookmarkStart w:id="24" w:name="financial-breakdown"/>
    <w:p>
      <w:pPr>
        <w:pStyle w:val="Heading2"/>
      </w:pPr>
      <w:r>
        <w:t xml:space="preserve">4.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Description</w:t>
            </w:r>
          </w:p>
        </w:tc>
        <w:tc>
          <w:tcPr/>
          <w:p>
            <w:pPr>
              <w:pStyle w:val="Compact"/>
              <w:jc w:val="left"/>
            </w:pPr>
            <w:r>
              <w:t xml:space="preserve">Duration</w:t>
            </w:r>
          </w:p>
        </w:tc>
        <w:tc>
          <w:tcPr/>
          <w:p>
            <w:pPr>
              <w:pStyle w:val="Compact"/>
              <w:jc w:val="left"/>
            </w:pPr>
            <w:r>
              <w:t xml:space="preserve">Unit Cost (XOF)</w:t>
            </w:r>
          </w:p>
        </w:tc>
        <w:tc>
          <w:tcPr/>
          <w:p>
            <w:pPr>
              <w:pStyle w:val="Compact"/>
              <w:jc w:val="left"/>
            </w:pPr>
            <w:r>
              <w:t xml:space="preserve">Unit Cost (USD)</w:t>
            </w:r>
          </w:p>
        </w:tc>
        <w:tc>
          <w:tcPr/>
          <w:p>
            <w:pPr>
              <w:pStyle w:val="Compact"/>
              <w:jc w:val="left"/>
            </w:pPr>
            <w:r>
              <w:t xml:space="preserve">Total (XOF)</w:t>
            </w:r>
          </w:p>
        </w:tc>
        <w:tc>
          <w:tcPr/>
          <w:p>
            <w:pPr>
              <w:pStyle w:val="Compact"/>
              <w:jc w:val="left"/>
            </w:pPr>
            <w:r>
              <w:t xml:space="preserve">Total (USD)</w:t>
            </w:r>
          </w:p>
        </w:tc>
      </w:tr>
      <w:tr>
        <w:tc>
          <w:tcPr/>
          <w:p>
            <w:pPr>
              <w:pStyle w:val="Compact"/>
              <w:jc w:val="left"/>
            </w:pPr>
            <w:r>
              <w:t xml:space="preserve">Software Engineer – Monthly Salary (Gross)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1,400</w:t>
            </w:r>
          </w:p>
        </w:tc>
        <w:tc>
          <w:tcPr/>
          <w:p>
            <w:pPr>
              <w:pStyle w:val="Compact"/>
              <w:jc w:val="left"/>
            </w:pPr>
            <w:r>
              <w:t xml:space="preserve">10,200,000</w:t>
            </w:r>
          </w:p>
        </w:tc>
        <w:tc>
          <w:tcPr/>
          <w:p>
            <w:pPr>
              <w:pStyle w:val="Compact"/>
              <w:jc w:val="left"/>
            </w:pPr>
            <w:r>
              <w:t xml:space="preserve">16,800</w:t>
            </w:r>
          </w:p>
        </w:tc>
      </w:tr>
      <w:tr>
        <w:tc>
          <w:tcPr/>
          <w:p>
            <w:pPr>
              <w:pStyle w:val="Compact"/>
              <w:jc w:val="left"/>
            </w:pPr>
            <w:r>
              <w:t xml:space="preserve">Statutory Employer Contributions (CNSS, Tax, etc.)</w:t>
            </w:r>
          </w:p>
        </w:tc>
        <w:tc>
          <w:tcPr/>
          <w:p>
            <w:pPr>
              <w:pStyle w:val="Compact"/>
              <w:jc w:val="left"/>
            </w:pPr>
            <w:r>
              <w:t xml:space="preserve">12 months</w:t>
            </w:r>
          </w:p>
        </w:tc>
        <w:tc>
          <w:tcPr/>
          <w:p>
            <w:pPr>
              <w:pStyle w:val="Compact"/>
              <w:jc w:val="left"/>
            </w:pPr>
            <w:r>
              <w:t xml:space="preserve">255,000</w:t>
            </w:r>
          </w:p>
        </w:tc>
        <w:tc>
          <w:tcPr/>
          <w:p>
            <w:pPr>
              <w:pStyle w:val="Compact"/>
              <w:jc w:val="left"/>
            </w:pPr>
            <w:r>
              <w:t xml:space="preserve">420</w:t>
            </w:r>
          </w:p>
        </w:tc>
        <w:tc>
          <w:tcPr/>
          <w:p>
            <w:pPr>
              <w:pStyle w:val="Compact"/>
              <w:jc w:val="left"/>
            </w:pPr>
            <w:r>
              <w:t xml:space="preserve">3,060,000</w:t>
            </w:r>
          </w:p>
        </w:tc>
        <w:tc>
          <w:tcPr/>
          <w:p>
            <w:pPr>
              <w:pStyle w:val="Compact"/>
              <w:jc w:val="left"/>
            </w:pPr>
            <w:r>
              <w:t xml:space="preserve">5,040</w:t>
            </w:r>
          </w:p>
        </w:tc>
      </w:tr>
      <w:tr>
        <w:tc>
          <w:tcPr/>
          <w:p>
            <w:pPr>
              <w:pStyle w:val="Compact"/>
              <w:jc w:val="left"/>
            </w:pPr>
            <w:r>
              <w:t xml:space="preserve">Recruitment &amp; Onboarding Fee (One-Time)</w:t>
            </w:r>
          </w:p>
        </w:tc>
        <w:tc>
          <w:tcPr/>
          <w:p>
            <w:pPr>
              <w:pStyle w:val="Compact"/>
              <w:jc w:val="left"/>
            </w:pPr>
            <w:r>
              <w:t xml:space="preserve">1 time</w:t>
            </w:r>
          </w:p>
        </w:tc>
        <w:tc>
          <w:tcPr/>
          <w:p>
            <w:pPr>
              <w:pStyle w:val="Compact"/>
              <w:jc w:val="left"/>
            </w:pPr>
            <w:r>
              <w:t xml:space="preserve">1,200,000</w:t>
            </w:r>
          </w:p>
        </w:tc>
        <w:tc>
          <w:tcPr/>
          <w:p>
            <w:pPr>
              <w:pStyle w:val="Compact"/>
              <w:jc w:val="left"/>
            </w:pPr>
            <w:r>
              <w:t xml:space="preserve">2,000</w:t>
            </w:r>
          </w:p>
        </w:tc>
        <w:tc>
          <w:tcPr/>
          <w:p>
            <w:pPr>
              <w:pStyle w:val="Compact"/>
              <w:jc w:val="left"/>
            </w:pPr>
            <w:r>
              <w:t xml:space="preserve">1,200,000</w:t>
            </w:r>
          </w:p>
        </w:tc>
        <w:tc>
          <w:tcPr/>
          <w:p>
            <w:pPr>
              <w:pStyle w:val="Compact"/>
              <w:jc w:val="left"/>
            </w:pPr>
            <w:r>
              <w:t xml:space="preserve">2,000</w:t>
            </w:r>
          </w:p>
        </w:tc>
      </w:tr>
      <w:tr>
        <w:tc>
          <w:tcPr/>
          <w:p>
            <w:pPr>
              <w:pStyle w:val="Compact"/>
              <w:jc w:val="left"/>
            </w:pPr>
            <w:r>
              <w:t xml:space="preserve">Workstation &amp; Equipment Provision (Laptop, Monitor, Peripherals)</w:t>
            </w:r>
          </w:p>
        </w:tc>
        <w:tc>
          <w:tcPr/>
          <w:p>
            <w:pPr>
              <w:pStyle w:val="Compact"/>
              <w:jc w:val="left"/>
            </w:pPr>
            <w:r>
              <w:t xml:space="preserve">1 time</w:t>
            </w:r>
          </w:p>
        </w:tc>
        <w:tc>
          <w:tcPr/>
          <w:p>
            <w:pPr>
              <w:pStyle w:val="Compact"/>
              <w:jc w:val="left"/>
            </w:pPr>
            <w:r>
              <w:t xml:space="preserve">1,800,000</w:t>
            </w:r>
          </w:p>
        </w:tc>
        <w:tc>
          <w:tcPr/>
          <w:p>
            <w:pPr>
              <w:pStyle w:val="Compact"/>
              <w:jc w:val="left"/>
            </w:pPr>
            <w:r>
              <w:t xml:space="preserve">3,000</w:t>
            </w:r>
          </w:p>
        </w:tc>
        <w:tc>
          <w:tcPr/>
          <w:p>
            <w:pPr>
              <w:pStyle w:val="Compact"/>
              <w:jc w:val="left"/>
            </w:pPr>
            <w:r>
              <w:t xml:space="preserve">1,800,000</w:t>
            </w:r>
          </w:p>
        </w:tc>
        <w:tc>
          <w:tcPr/>
          <w:p>
            <w:pPr>
              <w:pStyle w:val="Compact"/>
              <w:jc w:val="left"/>
            </w:pPr>
            <w:r>
              <w:t xml:space="preserve">3,000</w:t>
            </w:r>
          </w:p>
        </w:tc>
      </w:tr>
      <w:tr>
        <w:tc>
          <w:tcPr/>
          <w:p>
            <w:pPr>
              <w:pStyle w:val="Compact"/>
              <w:jc w:val="left"/>
            </w:pPr>
            <w:r>
              <w:t xml:space="preserve">Software Licenses &amp; Development Tools (Annual)</w:t>
            </w:r>
          </w:p>
        </w:tc>
        <w:tc>
          <w:tcPr/>
          <w:p>
            <w:pPr>
              <w:pStyle w:val="Compact"/>
              <w:jc w:val="left"/>
            </w:pPr>
            <w:r>
              <w:t xml:space="preserve">12 months</w:t>
            </w:r>
          </w:p>
        </w:tc>
        <w:tc>
          <w:tcPr/>
          <w:p>
            <w:pPr>
              <w:pStyle w:val="Compact"/>
              <w:jc w:val="left"/>
            </w:pPr>
            <w:r>
              <w:t xml:space="preserve">900,000</w:t>
            </w:r>
          </w:p>
        </w:tc>
        <w:tc>
          <w:tcPr/>
          <w:p>
            <w:pPr>
              <w:pStyle w:val="Compact"/>
              <w:jc w:val="left"/>
            </w:pPr>
            <w:r>
              <w:t xml:space="preserve">1,500</w:t>
            </w:r>
          </w:p>
        </w:tc>
        <w:tc>
          <w:tcPr/>
          <w:p>
            <w:pPr>
              <w:pStyle w:val="Compact"/>
              <w:jc w:val="left"/>
            </w:pPr>
            <w:r>
              <w:t xml:space="preserve">900,000</w:t>
            </w:r>
          </w:p>
        </w:tc>
        <w:tc>
          <w:tcPr/>
          <w:p>
            <w:pPr>
              <w:pStyle w:val="Compact"/>
              <w:jc w:val="left"/>
            </w:pPr>
            <w:r>
              <w:t xml:space="preserve">1,500</w:t>
            </w:r>
          </w:p>
        </w:tc>
      </w:tr>
      <w:tr>
        <w:tc>
          <w:tcPr/>
          <w:p>
            <w:pPr>
              <w:pStyle w:val="Compact"/>
              <w:jc w:val="left"/>
            </w:pPr>
            <w:r>
              <w:t xml:space="preserve">Office Space &amp; Utilities Allocation (Abidjan, Cocody District)</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800</w:t>
            </w:r>
          </w:p>
        </w:tc>
        <w:tc>
          <w:tcPr/>
          <w:p>
            <w:pPr>
              <w:pStyle w:val="Compact"/>
              <w:jc w:val="left"/>
            </w:pPr>
            <w:r>
              <w:t xml:space="preserve">5,760,000</w:t>
            </w:r>
          </w:p>
        </w:tc>
        <w:tc>
          <w:tcPr/>
          <w:p>
            <w:pPr>
              <w:pStyle w:val="Compact"/>
              <w:jc w:val="left"/>
            </w:pPr>
            <w:r>
              <w:t xml:space="preserve">9,600</w:t>
            </w:r>
          </w:p>
        </w:tc>
      </w:tr>
      <w:tr>
        <w:tc>
          <w:tcPr/>
          <w:p>
            <w:pPr>
              <w:pStyle w:val="Compact"/>
              <w:jc w:val="left"/>
            </w:pPr>
            <w:r>
              <w:t xml:space="preserve">Health Insurance &amp; Professional Liability Coverage</w:t>
            </w:r>
          </w:p>
        </w:tc>
        <w:tc>
          <w:tcPr/>
          <w:p>
            <w:pPr>
              <w:pStyle w:val="Compact"/>
              <w:jc w:val="left"/>
            </w:pPr>
            <w:r>
              <w:t xml:space="preserve">12 months</w:t>
            </w:r>
          </w:p>
        </w:tc>
        <w:tc>
          <w:tcPr/>
          <w:p>
            <w:pPr>
              <w:pStyle w:val="Compact"/>
              <w:jc w:val="left"/>
            </w:pPr>
            <w:r>
              <w:t xml:space="preserve">360,000</w:t>
            </w:r>
          </w:p>
        </w:tc>
        <w:tc>
          <w:tcPr/>
          <w:p>
            <w:pPr>
              <w:pStyle w:val="Compact"/>
              <w:jc w:val="left"/>
            </w:pPr>
            <w:r>
              <w:t xml:space="preserve">600</w:t>
            </w:r>
          </w:p>
        </w:tc>
        <w:tc>
          <w:tcPr/>
          <w:p>
            <w:pPr>
              <w:pStyle w:val="Compact"/>
              <w:jc w:val="left"/>
            </w:pPr>
            <w:r>
              <w:t xml:space="preserve">4,320,000</w:t>
            </w:r>
          </w:p>
        </w:tc>
        <w:tc>
          <w:tcPr/>
          <w:p>
            <w:pPr>
              <w:pStyle w:val="Compact"/>
              <w:jc w:val="left"/>
            </w:pPr>
            <w:r>
              <w:t xml:space="preserve">7,200</w:t>
            </w:r>
          </w:p>
        </w:tc>
      </w:tr>
      <w:tr>
        <w:tc>
          <w:tcPr/>
          <w:p>
            <w:pPr>
              <w:pStyle w:val="Compact"/>
              <w:jc w:val="left"/>
            </w:pPr>
            <w:r>
              <w:t xml:space="preserve">Training &amp; Continuous Professional Development</w:t>
            </w:r>
          </w:p>
        </w:tc>
        <w:tc>
          <w:tcPr/>
          <w:p>
            <w:pPr>
              <w:pStyle w:val="Compact"/>
              <w:jc w:val="left"/>
            </w:pPr>
            <w:r>
              <w:t xml:space="preserve">12 months</w:t>
            </w:r>
          </w:p>
        </w:tc>
        <w:tc>
          <w:tcPr/>
          <w:p>
            <w:pPr>
              <w:pStyle w:val="Compact"/>
              <w:jc w:val="left"/>
            </w:pPr>
            <w:r>
              <w:t xml:space="preserve">300,000</w:t>
            </w:r>
          </w:p>
        </w:tc>
        <w:tc>
          <w:tcPr/>
          <w:p>
            <w:pPr>
              <w:pStyle w:val="Compact"/>
              <w:jc w:val="left"/>
            </w:pPr>
            <w:r>
              <w:t xml:space="preserve">500</w:t>
            </w:r>
          </w:p>
        </w:tc>
        <w:tc>
          <w:tcPr/>
          <w:p>
            <w:pPr>
              <w:pStyle w:val="Compact"/>
              <w:jc w:val="left"/>
            </w:pPr>
            <w:r>
              <w:t xml:space="preserve">3,600,000</w:t>
            </w:r>
          </w:p>
        </w:tc>
        <w:tc>
          <w:tcPr/>
          <w:p>
            <w:pPr>
              <w:pStyle w:val="Compact"/>
              <w:jc w:val="left"/>
            </w:pPr>
            <w:r>
              <w:t xml:space="preserve">6,000</w:t>
            </w:r>
          </w:p>
        </w:tc>
      </w:tr>
      <w:tr>
        <w:tc>
          <w:tcPr/>
          <w:p>
            <w:pPr>
              <w:pStyle w:val="Compact"/>
              <w:jc w:val="left"/>
            </w:pPr>
            <w:r>
              <w:t xml:space="preserve">Project Management &amp; Supervision Overhead (15%)</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w:t>
            </w:r>
          </w:p>
        </w:tc>
        <w:tc>
          <w:tcPr/>
          <w:p>
            <w:pPr>
              <w:pStyle w:val="Compact"/>
              <w:jc w:val="left"/>
            </w:pPr>
            <w:r>
              <w:t xml:space="preserve">4,590,000</w:t>
            </w:r>
          </w:p>
        </w:tc>
        <w:tc>
          <w:tcPr/>
          <w:p>
            <w:pPr>
              <w:pStyle w:val="Compact"/>
              <w:jc w:val="left"/>
            </w:pPr>
            <w:r>
              <w:t xml:space="preserve">7,650</w:t>
            </w:r>
          </w:p>
        </w:tc>
      </w:tr>
      <w:tr>
        <w:tc>
          <w:tcPr>
            <w:gridSpan w:val="4"/>
          </w:tcPr>
          <w:p>
            <w:pPr>
              <w:pStyle w:val="Compact"/>
              <w:jc w:val="left"/>
            </w:pPr>
            <w:r>
              <w:t xml:space="preserve">GRAND TOTAL (12-Month Engagement)</w:t>
            </w:r>
          </w:p>
        </w:tc>
        <w:tc>
          <w:tcPr/>
          <w:p>
            <w:pPr>
              <w:pStyle w:val="Compact"/>
              <w:jc w:val="left"/>
            </w:pPr>
            <w:r>
              <w:t xml:space="preserve">35,430,000</w:t>
            </w:r>
          </w:p>
        </w:tc>
        <w:tc>
          <w:tcPr/>
          <w:p>
            <w:pPr>
              <w:pStyle w:val="Compact"/>
              <w:jc w:val="left"/>
            </w:pPr>
            <w:r>
              <w:t xml:space="preserve">58,790</w:t>
            </w:r>
          </w:p>
        </w:tc>
      </w:tr>
    </w:tbl>
    <w:p>
      <w:pPr>
        <w:pStyle w:val="BodyText"/>
      </w:pPr>
      <w:r>
        <w:rPr>
          <w:iCs/>
          <w:i/>
        </w:rPr>
        <w:t xml:space="preserve">Exchange rate reference: 1 USD ≈ 602.62 XOF (Central Bank of West African States – BCEAO rate as of June 2025). All figures in this Quotation Estimate are exclusive of applicable VAT (18%) unless otherwise stated.</w:t>
      </w:r>
    </w:p>
    <w:bookmarkEnd w:id="24"/>
    <w:bookmarkStart w:id="25" w:name="payment-terms"/>
    <w:p>
      <w:pPr>
        <w:pStyle w:val="Heading2"/>
      </w:pPr>
      <w:r>
        <w:t xml:space="preserve">5. Payment Terms</w:t>
      </w:r>
    </w:p>
    <w:p>
      <w:pPr>
        <w:pStyle w:val="FirstParagraph"/>
      </w:pPr>
      <w:r>
        <w:t xml:space="preserve">Payment for the Software Engineer engagement outlined in this Quotation Estimate shall be structured as follows: a 30% advance payment upon contract signature, followed by monthly invoicing in arrears on the 5th business day of each subsequent month. All payments shall be made in XOF via bank transfer to the designated account of TechBridge Solutions Ltd., Abidjan, Ivory Coast. Late payments exceeding fifteen (15) calendar days will incur a penalty of 1.5% per month on the outstanding balance.</w:t>
      </w:r>
    </w:p>
    <w:bookmarkEnd w:id="25"/>
    <w:bookmarkStart w:id="26" w:name="terms-conditions"/>
    <w:p>
      <w:pPr>
        <w:pStyle w:val="Heading2"/>
      </w:pPr>
      <w:r>
        <w:t xml:space="preserve">6. Terms &amp; Conditions</w:t>
      </w:r>
    </w:p>
    <w:p>
      <w:pPr>
        <w:numPr>
          <w:ilvl w:val="0"/>
          <w:numId w:val="1002"/>
        </w:numPr>
        <w:pStyle w:val="Compact"/>
      </w:pPr>
      <w:r>
        <w:t xml:space="preserve">This Quotation Estimate is valid for thirty (30) days from the date of issue. Beyond this period, pricing may be subject to revision based on market conditions in Ivory Coast Abidjan.</w:t>
      </w:r>
    </w:p>
    <w:p>
      <w:pPr>
        <w:numPr>
          <w:ilvl w:val="0"/>
          <w:numId w:val="1002"/>
        </w:numPr>
        <w:pStyle w:val="Compact"/>
      </w:pPr>
      <w:r>
        <w:t xml:space="preserve">The Software Engineer shall be bound by a non-disclosure agreement (NDA) and intellectual property assignment clause specific to all work performed under this engagement.</w:t>
      </w:r>
    </w:p>
    <w:p>
      <w:pPr>
        <w:numPr>
          <w:ilvl w:val="0"/>
          <w:numId w:val="1002"/>
        </w:numPr>
        <w:pStyle w:val="Compact"/>
      </w:pPr>
      <w:r>
        <w:t xml:space="preserve">Either party may terminate the engagement with thirty (30) days' written notice. In the event of early termination, a pro-rata settlement of all committed costs will apply.</w:t>
      </w:r>
    </w:p>
    <w:p>
      <w:pPr>
        <w:numPr>
          <w:ilvl w:val="0"/>
          <w:numId w:val="1002"/>
        </w:numPr>
        <w:pStyle w:val="Compact"/>
      </w:pPr>
      <w:r>
        <w:t xml:space="preserve">This Quotation Estimate does not constitute a binding contract until both parties have executed the definitive Service Agreement.</w:t>
      </w:r>
    </w:p>
    <w:p>
      <w:pPr>
        <w:numPr>
          <w:ilvl w:val="0"/>
          <w:numId w:val="1002"/>
        </w:numPr>
        <w:pStyle w:val="Compact"/>
      </w:pPr>
      <w:r>
        <w:t xml:space="preserve">All disputes arising from this Quotation Estimate or the subsequent contract shall be resolved under the jurisdiction of the commercial courts of Abidjan, Ivory Coast.</w:t>
      </w:r>
    </w:p>
    <w:p>
      <w:pPr>
        <w:numPr>
          <w:ilvl w:val="0"/>
          <w:numId w:val="1002"/>
        </w:numPr>
        <w:pStyle w:val="Compact"/>
      </w:pPr>
      <w:r>
        <w:t xml:space="preserve">The Software Engineer's work schedule shall comply with the Ivorian Labour Code (Code du Travail de Côte d'Ivoire), including provisions on working hours, leave entitlements, and occupational safety.</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 Quotation Estimate for the Software Engineer services in Ivory Coast Abidjan and agrees to the terms, conditions, and financial provisions set forth herein. This signature authorizes TechBridge Solutions Ltd. to proceed with the recruitment, onboarding, and deployment of the Software Engineer as described.</w:t>
      </w:r>
    </w:p>
    <w:p>
      <w:pPr>
        <w:pStyle w:val="BodyText"/>
      </w:pPr>
      <w:r>
        <w:rPr>
          <w:bCs/>
          <w:b/>
        </w:rPr>
        <w:t xml:space="preserve">For TechBridge Solutions Ltd.</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QTE-2025-IVC-ABJ-0047 | TechBridge Solutions Ltd. | Boulevard de Vridi, Cocody, Abidjan, Ivory Coast (Côte d'Ivoire)</w:t>
      </w:r>
      <w:r>
        <w:br/>
      </w:r>
      <w:r>
        <w:t xml:space="preserve">Tel: +225 27 22 45 67 89 | Email: quotations@techbridge-ci.com | RC: CI-ABJ-2019-B-12345</w:t>
      </w:r>
      <w:r>
        <w:br/>
      </w:r>
      <w:r>
        <w:t xml:space="preserve">This document is confidential and intended solely for the named recipient.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Ivory Coast Abidjan</dc:title>
  <dc:creator/>
  <dc:language>en</dc:language>
  <cp:keywords/>
  <dcterms:created xsi:type="dcterms:W3CDTF">2026-10-10T02:26:06Z</dcterms:created>
  <dcterms:modified xsi:type="dcterms:W3CDTF">2026-10-10T02:26:06Z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