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Prepared for Deployment in Kazakhstan Almaty</w:t>
      </w:r>
    </w:p>
    <w:p>
      <w:pPr>
        <w:pStyle w:val="BodyText"/>
      </w:pPr>
      <w:r>
        <w:t xml:space="preserve">Document Reference: QE-ALM-2025-0047</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TechBridge Solutions LLP</w:t>
      </w:r>
      <w:r>
        <w:t xml:space="preserve"> </w:t>
      </w:r>
      <w:r>
        <w:t xml:space="preserve">128 Abai Avenue, Almaty, Kazakhstan</w:t>
      </w:r>
    </w:p>
    <w:p>
      <w:pPr>
        <w:pStyle w:val="BodyText"/>
      </w:pPr>
      <w:r>
        <w:rPr>
          <w:bCs/>
          <w:b/>
        </w:rPr>
        <w:t xml:space="preserve">Client:</w:t>
      </w:r>
      <w:r>
        <w:t xml:space="preserve"> </w:t>
      </w:r>
      <w:r>
        <w:t xml:space="preserve">[Client Company Name]</w:t>
      </w:r>
      <w:r>
        <w:t xml:space="preserve"> </w:t>
      </w:r>
      <w:r>
        <w:t xml:space="preserve">[Client Address, Kazakhstan Almaty]</w:t>
      </w:r>
    </w:p>
    <w:p>
      <w:pPr>
        <w:pStyle w:val="BodyText"/>
      </w:pPr>
      <w:r>
        <w:rPr>
          <w:bCs/>
          <w:b/>
        </w:rPr>
        <w:t xml:space="preserve">Project Location:</w:t>
      </w:r>
      <w:r>
        <w:t xml:space="preserve"> </w:t>
      </w:r>
      <w:r>
        <w:t xml:space="preserve">Kazakhstan Almaty</w:t>
      </w:r>
    </w:p>
    <w:p>
      <w:pPr>
        <w:pStyle w:val="BodyText"/>
      </w:pPr>
      <w:r>
        <w:rPr>
          <w:bCs/>
          <w:b/>
        </w:rPr>
        <w:t xml:space="preserve">Quotation Currency:</w:t>
      </w:r>
      <w:r>
        <w:t xml:space="preserve"> </w:t>
      </w:r>
      <w:r>
        <w:t xml:space="preserve">USD / KZT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TechBridge Solutions LLP to provide a comprehensive and transparent financial breakdown for the engagement of a qualified</w:t>
      </w:r>
      <w:r>
        <w:t xml:space="preserve"> </w:t>
      </w:r>
      <w:r>
        <w:t xml:space="preserve">Software Engineer</w:t>
      </w:r>
      <w:r>
        <w:t xml:space="preserve"> </w:t>
      </w:r>
      <w:r>
        <w:t xml:space="preserve">to be deployed and operational within the city of</w:t>
      </w:r>
      <w:r>
        <w:t xml:space="preserve"> </w:t>
      </w:r>
      <w:r>
        <w:t xml:space="preserve">Kazakhstan Almaty</w:t>
      </w:r>
      <w:r>
        <w:t xml:space="preserve">. This document serves as a formal proposal outlining the scope of services, associated costs, payment structure, and contractual terms governing the professional engagement. The</w:t>
      </w:r>
      <w:r>
        <w:t xml:space="preserve"> </w:t>
      </w:r>
      <w:r>
        <w:t xml:space="preserve">Quotation Estimate</w:t>
      </w:r>
      <w:r>
        <w:t xml:space="preserve"> </w:t>
      </w:r>
      <w:r>
        <w:t xml:space="preserve">has been specifically tailored to reflect the local market conditions, regulatory requirements, and operational realities of providing</w:t>
      </w:r>
      <w:r>
        <w:t xml:space="preserve"> </w:t>
      </w:r>
      <w:r>
        <w:t xml:space="preserve">Software Engineer</w:t>
      </w:r>
      <w:r>
        <w:t xml:space="preserve"> </w:t>
      </w:r>
      <w:r>
        <w:t xml:space="preserve">services in the</w:t>
      </w:r>
      <w:r>
        <w:t xml:space="preserve"> </w:t>
      </w:r>
      <w:r>
        <w:t xml:space="preserve">Kazakhstan Almaty</w:t>
      </w:r>
      <w:r>
        <w:t xml:space="preserve"> </w:t>
      </w:r>
      <w:r>
        <w:t xml:space="preserve">metropolitan area.</w:t>
      </w:r>
    </w:p>
    <w:bookmarkEnd w:id="21"/>
    <w:bookmarkStart w:id="22" w:name="scope-of-services-software-engineer-role"/>
    <w:p>
      <w:pPr>
        <w:pStyle w:val="Heading2"/>
      </w:pPr>
      <w:r>
        <w:t xml:space="preserve">2. Scope of Services – Software Engineer Role</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be responsible for the following duties and deliverables while stationed in</w:t>
      </w:r>
      <w:r>
        <w:t xml:space="preserve"> </w:t>
      </w:r>
      <w:r>
        <w:t xml:space="preserve">Kazakhstan Almaty</w:t>
      </w:r>
      <w:r>
        <w:t xml:space="preserve">:</w:t>
      </w:r>
    </w:p>
    <w:p>
      <w:pPr>
        <w:numPr>
          <w:ilvl w:val="0"/>
          <w:numId w:val="1001"/>
        </w:numPr>
        <w:pStyle w:val="Compact"/>
      </w:pPr>
      <w:r>
        <w:t xml:space="preserve">Design, development, testing, and deployment of enterprise-grade software applications aligned with the client's strategic technology roadmap.</w:t>
      </w:r>
    </w:p>
    <w:p>
      <w:pPr>
        <w:numPr>
          <w:ilvl w:val="0"/>
          <w:numId w:val="1001"/>
        </w:numPr>
        <w:pStyle w:val="Compact"/>
      </w:pPr>
      <w:r>
        <w:t xml:space="preserve">Architecture design and code review for microservices-based systems, ensuring scalability and performance standards appropriate for the</w:t>
      </w:r>
      <w:r>
        <w:t xml:space="preserve"> </w:t>
      </w:r>
      <w:r>
        <w:t xml:space="preserve">Kazakhstan Almaty</w:t>
      </w:r>
      <w:r>
        <w:t xml:space="preserve"> </w:t>
      </w:r>
      <w:r>
        <w:t xml:space="preserve">digital infrastructure landscape.</w:t>
      </w:r>
    </w:p>
    <w:p>
      <w:pPr>
        <w:numPr>
          <w:ilvl w:val="0"/>
          <w:numId w:val="1001"/>
        </w:numPr>
        <w:pStyle w:val="Compact"/>
      </w:pPr>
      <w:r>
        <w:t xml:space="preserve">Integration of third-party APIs, cloud platforms, and legacy systems within the client's existing technology ecosystem.</w:t>
      </w:r>
    </w:p>
    <w:p>
      <w:pPr>
        <w:numPr>
          <w:ilvl w:val="0"/>
          <w:numId w:val="1001"/>
        </w:numPr>
        <w:pStyle w:val="Compact"/>
      </w:pPr>
      <w:r>
        <w:t xml:space="preserve">Provision of ongoing technical support, bug resolution, and iterative feature enhancements on a dedicated full-time basis.</w:t>
      </w:r>
    </w:p>
    <w:p>
      <w:pPr>
        <w:numPr>
          <w:ilvl w:val="0"/>
          <w:numId w:val="1001"/>
        </w:numPr>
        <w:pStyle w:val="Compact"/>
      </w:pPr>
      <w:r>
        <w:t xml:space="preserve">Collaboration with cross-functional teams located in</w:t>
      </w:r>
      <w:r>
        <w:t xml:space="preserve"> </w:t>
      </w:r>
      <w:r>
        <w:t xml:space="preserve">Kazakhstan Almaty</w:t>
      </w:r>
      <w:r>
        <w:t xml:space="preserve"> </w:t>
      </w:r>
      <w:r>
        <w:t xml:space="preserve">and remote international offices to ensure seamless project delivery.</w:t>
      </w:r>
    </w:p>
    <w:p>
      <w:pPr>
        <w:numPr>
          <w:ilvl w:val="0"/>
          <w:numId w:val="1001"/>
        </w:numPr>
        <w:pStyle w:val="Compact"/>
      </w:pPr>
      <w:r>
        <w:t xml:space="preserve">Compliance with local data protection regulations applicable in the Republic of Kazakhstan, including the Law on Personal Data and related governmental directives.</w:t>
      </w:r>
    </w:p>
    <w:p>
      <w:pPr>
        <w:numPr>
          <w:ilvl w:val="0"/>
          <w:numId w:val="1001"/>
        </w:numPr>
        <w:pStyle w:val="Compact"/>
      </w:pPr>
      <w:r>
        <w:t xml:space="preserve">Preparation of technical documentation, sprint reports, and quarterly performance reviews as part of the</w:t>
      </w:r>
      <w:r>
        <w:t xml:space="preserve"> </w:t>
      </w:r>
      <w:r>
        <w:t xml:space="preserve">Software Engineer</w:t>
      </w:r>
      <w:r>
        <w:t xml:space="preserve"> </w:t>
      </w:r>
      <w:r>
        <w:t xml:space="preserve">engagement deliverables.</w:t>
      </w:r>
    </w:p>
    <w:bookmarkEnd w:id="22"/>
    <w:bookmarkStart w:id="23" w:name="itemized-cost-breakdown"/>
    <w:p>
      <w:pPr>
        <w:pStyle w:val="Heading2"/>
      </w:pPr>
      <w:r>
        <w:t xml:space="preserve">3. Itemized Cost Breakdown</w:t>
      </w:r>
    </w:p>
    <w:p>
      <w:pPr>
        <w:pStyle w:val="FirstParagraph"/>
      </w:pPr>
      <w:r>
        <w:t xml:space="preserve">The following table constitutes the detailed financial component of this</w:t>
      </w:r>
      <w:r>
        <w:t xml:space="preserve"> </w:t>
      </w:r>
      <w:r>
        <w:t xml:space="preserve">Quotation Estimate</w:t>
      </w:r>
      <w:r>
        <w:t xml:space="preserve"> </w:t>
      </w:r>
      <w:r>
        <w:t xml:space="preserve">for the</w:t>
      </w:r>
      <w:r>
        <w:t xml:space="preserve"> </w:t>
      </w:r>
      <w:r>
        <w:t xml:space="preserve">Software Engineer</w:t>
      </w:r>
      <w:r>
        <w:t xml:space="preserve"> </w:t>
      </w:r>
      <w:r>
        <w:t xml:space="preserve">engagement in</w:t>
      </w:r>
      <w:r>
        <w:t xml:space="preserve"> </w:t>
      </w:r>
      <w:r>
        <w:t xml:space="preserve">Kazakhstan Almaty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Software Engineer – Monthly Retainer (Full-Time, 8 hrs/day, 5 days/week)</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02</w:t>
            </w:r>
          </w:p>
        </w:tc>
        <w:tc>
          <w:tcPr/>
          <w:p>
            <w:pPr>
              <w:pStyle w:val="Compact"/>
              <w:jc w:val="left"/>
            </w:pPr>
            <w:r>
              <w:t xml:space="preserve">Workstation &amp; Development Environment Setup (Laptop, Dual Monitors, IDE Licenses)</w:t>
            </w:r>
          </w:p>
        </w:tc>
        <w:tc>
          <w:tcPr/>
          <w:p>
            <w:pPr>
              <w:pStyle w:val="Compact"/>
              <w:jc w:val="left"/>
            </w:pPr>
            <w:r>
              <w:t xml:space="preserve">One-time</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03</w:t>
            </w:r>
          </w:p>
        </w:tc>
        <w:tc>
          <w:tcPr/>
          <w:p>
            <w:pPr>
              <w:pStyle w:val="Compact"/>
              <w:jc w:val="left"/>
            </w:pPr>
            <w:r>
              <w:t xml:space="preserve">Office Space Allocation – Kazakhstan Almaty Business Center (Dedicated Desk, Meeting Room Access)</w:t>
            </w:r>
          </w:p>
        </w:tc>
        <w:tc>
          <w:tcPr/>
          <w:p>
            <w:pPr>
              <w:pStyle w:val="Compact"/>
              <w:jc w:val="left"/>
            </w:pPr>
            <w:r>
              <w:t xml:space="preserve">12 months</w:t>
            </w:r>
          </w:p>
        </w:tc>
        <w:tc>
          <w:tcPr/>
          <w:p>
            <w:pPr>
              <w:pStyle w:val="Compact"/>
              <w:jc w:val="left"/>
            </w:pPr>
            <w:r>
              <w:t xml:space="preserve">$350</w:t>
            </w:r>
          </w:p>
        </w:tc>
        <w:tc>
          <w:tcPr/>
          <w:p>
            <w:pPr>
              <w:pStyle w:val="Compact"/>
              <w:jc w:val="left"/>
            </w:pPr>
            <w:r>
              <w:t xml:space="preserve">$4,200</w:t>
            </w:r>
          </w:p>
        </w:tc>
      </w:tr>
      <w:tr>
        <w:tc>
          <w:tcPr/>
          <w:p>
            <w:pPr>
              <w:pStyle w:val="Compact"/>
              <w:jc w:val="left"/>
            </w:pPr>
            <w:r>
              <w:t xml:space="preserve">04</w:t>
            </w:r>
          </w:p>
        </w:tc>
        <w:tc>
          <w:tcPr/>
          <w:p>
            <w:pPr>
              <w:pStyle w:val="Compact"/>
              <w:jc w:val="left"/>
            </w:pPr>
            <w:r>
              <w:t xml:space="preserve">Cloud Infrastructure &amp; Software Tooling Subscriptions (AWS/Azure, Jira, Confluence, GitHub Enterprise)</w:t>
            </w:r>
          </w:p>
        </w:tc>
        <w:tc>
          <w:tcPr/>
          <w:p>
            <w:pPr>
              <w:pStyle w:val="Compact"/>
              <w:jc w:val="left"/>
            </w:pPr>
            <w:r>
              <w:t xml:space="preserve">12 months</w:t>
            </w:r>
          </w:p>
        </w:tc>
        <w:tc>
          <w:tcPr/>
          <w:p>
            <w:pPr>
              <w:pStyle w:val="Compact"/>
              <w:jc w:val="left"/>
            </w:pPr>
            <w:r>
              <w:t xml:space="preserve">$620</w:t>
            </w:r>
          </w:p>
        </w:tc>
        <w:tc>
          <w:tcPr/>
          <w:p>
            <w:pPr>
              <w:pStyle w:val="Compact"/>
              <w:jc w:val="left"/>
            </w:pPr>
            <w:r>
              <w:t xml:space="preserve">$7,440</w:t>
            </w:r>
          </w:p>
        </w:tc>
      </w:tr>
      <w:tr>
        <w:tc>
          <w:tcPr/>
          <w:p>
            <w:pPr>
              <w:pStyle w:val="Compact"/>
              <w:jc w:val="left"/>
            </w:pPr>
            <w:r>
              <w:t xml:space="preserve">05</w:t>
            </w:r>
          </w:p>
        </w:tc>
        <w:tc>
          <w:tcPr/>
          <w:p>
            <w:pPr>
              <w:pStyle w:val="Compact"/>
              <w:jc w:val="left"/>
            </w:pPr>
            <w:r>
              <w:t xml:space="preserve">Visa Processing, Work Permit &amp; Local Registration Fees (Kazakhstan Almaty)</w:t>
            </w:r>
          </w:p>
        </w:tc>
        <w:tc>
          <w:tcPr/>
          <w:p>
            <w:pPr>
              <w:pStyle w:val="Compact"/>
              <w:jc w:val="left"/>
            </w:pPr>
            <w:r>
              <w:t xml:space="preserve">One-time</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06</w:t>
            </w:r>
          </w:p>
        </w:tc>
        <w:tc>
          <w:tcPr/>
          <w:p>
            <w:pPr>
              <w:pStyle w:val="Compact"/>
              <w:jc w:val="left"/>
            </w:pPr>
            <w:r>
              <w:t xml:space="preserve">Health Insurance &amp; Mandatory Social Contributions (Kazakhstan Statutory Requirements)</w:t>
            </w:r>
          </w:p>
        </w:tc>
        <w:tc>
          <w:tcPr/>
          <w:p>
            <w:pPr>
              <w:pStyle w:val="Compact"/>
              <w:jc w:val="left"/>
            </w:pPr>
            <w:r>
              <w:t xml:space="preserve">12 months</w:t>
            </w:r>
          </w:p>
        </w:tc>
        <w:tc>
          <w:tcPr/>
          <w:p>
            <w:pPr>
              <w:pStyle w:val="Compact"/>
              <w:jc w:val="left"/>
            </w:pPr>
            <w:r>
              <w:t xml:space="preserve">$480</w:t>
            </w:r>
          </w:p>
        </w:tc>
        <w:tc>
          <w:tcPr/>
          <w:p>
            <w:pPr>
              <w:pStyle w:val="Compact"/>
              <w:jc w:val="left"/>
            </w:pPr>
            <w:r>
              <w:t xml:space="preserve">$5,760</w:t>
            </w:r>
          </w:p>
        </w:tc>
      </w:tr>
      <w:tr>
        <w:tc>
          <w:tcPr/>
          <w:p>
            <w:pPr>
              <w:pStyle w:val="Compact"/>
              <w:jc w:val="left"/>
            </w:pPr>
            <w:r>
              <w:t xml:space="preserve">07</w:t>
            </w:r>
          </w:p>
        </w:tc>
        <w:tc>
          <w:tcPr/>
          <w:p>
            <w:pPr>
              <w:pStyle w:val="Compact"/>
              <w:jc w:val="left"/>
            </w:pPr>
            <w:r>
              <w:t xml:space="preserve">Project Management &amp; Coordination Overhead (15% of Engineering Cost)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$7,560</w:t>
            </w:r>
          </w:p>
        </w:tc>
      </w:tr>
      <w:tr>
        <w:tc>
          <w:tcPr/>
          <w:p>
            <w:pPr>
              <w:pStyle w:val="Compact"/>
              <w:jc w:val="left"/>
            </w:pPr>
            <w:r>
              <w:t xml:space="preserve">08</w:t>
            </w:r>
          </w:p>
        </w:tc>
        <w:tc>
          <w:tcPr/>
          <w:p>
            <w:pPr>
              <w:pStyle w:val="Compact"/>
              <w:jc w:val="left"/>
            </w:pPr>
            <w:r>
              <w:t xml:space="preserve">Contingency &amp; Force Majeure Buffer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$3,000</w:t>
            </w:r>
          </w:p>
        </w:tc>
      </w:tr>
      <w:tr>
        <w:tc>
          <w:tcPr>
            <w:gridSpan w:val="4"/>
          </w:tcPr>
          <w:p>
            <w:pPr>
              <w:pStyle w:val="Compact"/>
              <w:jc w:val="left"/>
            </w:pPr>
            <w:r>
              <w:t xml:space="preserve">TOTAL ESTIMATED COST (12-Month Engagement)</w:t>
            </w:r>
          </w:p>
        </w:tc>
        <w:tc>
          <w:tcPr/>
          <w:p>
            <w:pPr>
              <w:pStyle w:val="Compact"/>
              <w:jc w:val="left"/>
            </w:pPr>
            <w:r>
              <w:t xml:space="preserve">$83,660</w:t>
            </w:r>
          </w:p>
        </w:tc>
      </w:tr>
      <w:tr>
        <w:tc>
          <w:tcPr>
            <w:gridSpan w:val="4"/>
          </w:tcPr>
          <w:p>
            <w:pPr>
              <w:pStyle w:val="Compact"/>
              <w:jc w:val="left"/>
            </w:pPr>
            <w:r>
              <w:t xml:space="preserve">TOTAL ESTIMATED COST (KZT Equivalent at 460 KZT/USD)</w:t>
            </w:r>
          </w:p>
        </w:tc>
        <w:tc>
          <w:tcPr/>
          <w:p>
            <w:pPr>
              <w:pStyle w:val="Compact"/>
              <w:jc w:val="left"/>
            </w:pPr>
            <w:r>
              <w:t xml:space="preserve">38,483,600 KZT</w:t>
            </w:r>
          </w:p>
        </w:tc>
      </w:tr>
    </w:tbl>
    <w:bookmarkEnd w:id="23"/>
    <w:bookmarkStart w:id="24" w:name="payment-terms-schedule"/>
    <w:p>
      <w:pPr>
        <w:pStyle w:val="Heading2"/>
      </w:pPr>
      <w:r>
        <w:t xml:space="preserve">4. Payment Terms &amp; Schedule</w:t>
      </w:r>
    </w:p>
    <w:p>
      <w:pPr>
        <w:pStyle w:val="FirstParagraph"/>
      </w:pPr>
      <w:r>
        <w:t xml:space="preserve">In accordance with this</w:t>
      </w:r>
      <w:r>
        <w:t xml:space="preserve"> </w:t>
      </w:r>
      <w:r>
        <w:t xml:space="preserve">Quotation Estimate</w:t>
      </w:r>
      <w:r>
        <w:t xml:space="preserve">, payment for the</w:t>
      </w:r>
      <w:r>
        <w:t xml:space="preserve"> </w:t>
      </w:r>
      <w:r>
        <w:t xml:space="preserve">Software Engineer</w:t>
      </w:r>
      <w:r>
        <w:t xml:space="preserve"> </w:t>
      </w:r>
      <w:r>
        <w:t xml:space="preserve">services in</w:t>
      </w:r>
      <w:r>
        <w:t xml:space="preserve"> </w:t>
      </w:r>
      <w:r>
        <w:t xml:space="preserve">Kazakhstan Almaty</w:t>
      </w:r>
      <w:r>
        <w:t xml:space="preserve"> </w:t>
      </w:r>
      <w:r>
        <w:t xml:space="preserve">shall be structured as follows:</w:t>
      </w:r>
    </w:p>
    <w:p>
      <w:pPr>
        <w:numPr>
          <w:ilvl w:val="0"/>
          <w:numId w:val="1002"/>
        </w:numPr>
        <w:pStyle w:val="Compact"/>
      </w:pPr>
      <w:r>
        <w:rPr>
          <w:bCs/>
          <w:b/>
        </w:rPr>
        <w:t xml:space="preserve">Advance Payment:</w:t>
      </w:r>
      <w:r>
        <w:t xml:space="preserve"> </w:t>
      </w:r>
      <w:r>
        <w:t xml:space="preserve">30% of the total contract value due within 10 business days of mutual acceptance of this Quotation Estimate and execution of the Master Service Agreement.</w:t>
      </w:r>
    </w:p>
    <w:p>
      <w:pPr>
        <w:numPr>
          <w:ilvl w:val="0"/>
          <w:numId w:val="1002"/>
        </w:numPr>
        <w:pStyle w:val="Compact"/>
      </w:pPr>
      <w:r>
        <w:rPr>
          <w:bCs/>
          <w:b/>
        </w:rPr>
        <w:t xml:space="preserve">Monthly Invoicing:</w:t>
      </w:r>
      <w:r>
        <w:t xml:space="preserve"> </w:t>
      </w:r>
      <w:r>
        <w:t xml:space="preserve">The remaining 70% shall be invoiced on the 1st business day of each calendar month, payable within 15 days of invoice receipt via wire transfer to the designated account in Kazakhstan Almaty.</w:t>
      </w:r>
    </w:p>
    <w:p>
      <w:pPr>
        <w:numPr>
          <w:ilvl w:val="0"/>
          <w:numId w:val="1002"/>
        </w:numPr>
        <w:pStyle w:val="Compact"/>
      </w:pPr>
      <w:r>
        <w:rPr>
          <w:bCs/>
          <w:b/>
        </w:rPr>
        <w:t xml:space="preserve">One-Time Costs:</w:t>
      </w:r>
      <w:r>
        <w:t xml:space="preserve"> </w:t>
      </w:r>
      <w:r>
        <w:t xml:space="preserve">Items 02 and 05 (workstation setup and visa processing) are payable in full upon project commencement.</w:t>
      </w:r>
    </w:p>
    <w:p>
      <w:pPr>
        <w:numPr>
          <w:ilvl w:val="0"/>
          <w:numId w:val="1002"/>
        </w:numPr>
        <w:pStyle w:val="Compact"/>
      </w:pPr>
      <w:r>
        <w:rPr>
          <w:bCs/>
          <w:b/>
        </w:rPr>
        <w:t xml:space="preserve">Late Payment Penalty:</w:t>
      </w:r>
      <w:r>
        <w:t xml:space="preserve"> </w:t>
      </w:r>
      <w:r>
        <w:t xml:space="preserve">A surcharge of 1.5% per month shall apply to any outstanding balance exceeding the 15-day payment window, in compliance with Kazakhstan commercial law.</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 the</w:t>
      </w:r>
      <w:r>
        <w:t xml:space="preserve"> </w:t>
      </w:r>
      <w:r>
        <w:t xml:space="preserve">Software Engineer</w:t>
      </w:r>
      <w:r>
        <w:t xml:space="preserve"> </w:t>
      </w:r>
      <w:r>
        <w:t xml:space="preserve">engagement in</w:t>
      </w:r>
      <w:r>
        <w:t xml:space="preserve"> </w:t>
      </w:r>
      <w:r>
        <w:t xml:space="preserve">Kazakhstan Almaty</w:t>
      </w:r>
      <w:r>
        <w:t xml:space="preserve"> </w:t>
      </w:r>
      <w:r>
        <w:t xml:space="preserve">is subject to revision based on market fluctuations and exchange rate movements.</w:t>
      </w:r>
    </w:p>
    <w:p>
      <w:pPr>
        <w:numPr>
          <w:ilvl w:val="0"/>
          <w:numId w:val="1003"/>
        </w:numPr>
        <w:pStyle w:val="Compact"/>
      </w:pPr>
      <w:r>
        <w:t xml:space="preserve">All services shall be performed in strict compliance with the labor laws of the Republic of Kazakhstan, including the Labor Code and applicable decrees governing foreign and local employment in Almaty.</w:t>
      </w:r>
    </w:p>
    <w:p>
      <w:pPr>
        <w:numPr>
          <w:ilvl w:val="0"/>
          <w:numId w:val="1003"/>
        </w:numPr>
        <w:pStyle w:val="Compact"/>
      </w:pPr>
      <w:r>
        <w:t xml:space="preserve">The</w:t>
      </w:r>
      <w:r>
        <w:t xml:space="preserve"> </w:t>
      </w:r>
      <w:r>
        <w:t xml:space="preserve">Software Engineer</w:t>
      </w:r>
      <w:r>
        <w:t xml:space="preserve"> </w:t>
      </w:r>
      <w:r>
        <w:t xml:space="preserve">shall be bound by a Non-Disclosure Agreement (NDA) and Intellectual Property Assignment Agreement, ensuring all code, documentation, and deliverables produced during the engagement remain the exclusive property of the client.</w:t>
      </w:r>
    </w:p>
    <w:p>
      <w:pPr>
        <w:numPr>
          <w:ilvl w:val="0"/>
          <w:numId w:val="1003"/>
        </w:numPr>
        <w:pStyle w:val="Compact"/>
      </w:pPr>
      <w:r>
        <w:t xml:space="preserve">Either party may terminate the engagement with a 30-day written notice. In the event of early termination, all costs incurred up to the termination date, plus a 10% administrative fee, shall be invoiced.</w:t>
      </w:r>
    </w:p>
    <w:p>
      <w:pPr>
        <w:numPr>
          <w:ilvl w:val="0"/>
          <w:numId w:val="1003"/>
        </w:numPr>
        <w:pStyle w:val="Compact"/>
      </w:pPr>
      <w:r>
        <w:t xml:space="preserve">This Quotation Estimate does not constitute a binding contract until both parties have executed the formal Master Service Agreement (MSA) incorporating all terms herein.</w:t>
      </w:r>
    </w:p>
    <w:p>
      <w:pPr>
        <w:numPr>
          <w:ilvl w:val="0"/>
          <w:numId w:val="1003"/>
        </w:numPr>
        <w:pStyle w:val="Compact"/>
      </w:pPr>
      <w:r>
        <w:t xml:space="preserve">Any disputes arising from this engagement shall be resolved through arbitration in Almaty, Kazakhstan, in accordance with the rules of the Almaty International Arbitration Center.</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reviewed and accepted the terms, conditions, and financial figures outlined in this</w:t>
      </w:r>
      <w:r>
        <w:t xml:space="preserve"> </w:t>
      </w:r>
      <w:r>
        <w:t xml:space="preserve">Quotation Estimate</w:t>
      </w:r>
      <w:r>
        <w:t xml:space="preserve"> </w:t>
      </w:r>
      <w:r>
        <w:t xml:space="preserve">for the</w:t>
      </w:r>
      <w:r>
        <w:t xml:space="preserve"> </w:t>
      </w:r>
      <w:r>
        <w:t xml:space="preserve">Software Engineer</w:t>
      </w:r>
      <w:r>
        <w:t xml:space="preserve"> </w:t>
      </w:r>
      <w:r>
        <w:t xml:space="preserve">services to be rendered in</w:t>
      </w:r>
      <w:r>
        <w:t xml:space="preserve"> </w:t>
      </w:r>
      <w:r>
        <w:t xml:space="preserve">Kazakhstan Almaty</w:t>
      </w:r>
      <w:r>
        <w:t xml:space="preserve">.</w:t>
      </w:r>
    </w:p>
    <w:p>
      <w:pPr>
        <w:pStyle w:val="BodyText"/>
      </w:pPr>
      <w:r>
        <w:rPr>
          <w:bCs/>
          <w:b/>
        </w:rPr>
        <w:t xml:space="preserve">For TechBridge Solutions LLP</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QE-ALM-2025-0047) is the property of TechBridge Solutions LLP and is intended solely for the named client. Unauthorized reproduction or distribution is prohibited. All references to Kazakhstan Almaty pertain to the city of Almaty, Republic of Kazakhstan. This document was prepared in accordance with international business practices and local regulatory standards applicable to Software Engineer engagements 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Kazakhstan Almaty</dc:title>
  <dc:creator/>
  <dc:language>en</dc:language>
  <cp:keywords/>
  <dcterms:created xsi:type="dcterms:W3CDTF">2026-10-10T00:32:05Z</dcterms:created>
  <dcterms:modified xsi:type="dcterms:W3CDTF">2026-10-10T00:32:05Z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