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digital-solutions-sdn.-bhd."/>
    <w:p>
      <w:pPr>
        <w:pStyle w:val="Heading1"/>
      </w:pPr>
      <w:r>
        <w:t xml:space="preserve">Meridian Digital Solutions Sdn. Bhd.</w:t>
      </w:r>
    </w:p>
    <w:p>
      <w:pPr>
        <w:pStyle w:val="FirstParagraph"/>
      </w:pPr>
      <w:r>
        <w:t xml:space="preserve">Level 12, Menara Maxis, Jalan Tun Razak</w:t>
      </w:r>
    </w:p>
    <w:p>
      <w:pPr>
        <w:pStyle w:val="BodyText"/>
      </w:pPr>
      <w:r>
        <w:t xml:space="preserve">50400 Kuala Lumpur, Malaysia</w:t>
      </w:r>
    </w:p>
    <w:p>
      <w:pPr>
        <w:pStyle w:val="BodyText"/>
      </w:pPr>
      <w:r>
        <w:t xml:space="preserve">Tel: +603-2181-4567 | Email: quotations@meridiandigital.my</w:t>
      </w:r>
    </w:p>
    <w:p>
      <w:pPr>
        <w:pStyle w:val="BodyText"/>
      </w:pPr>
      <w:r>
        <w:t xml:space="preserve">Registration No: 201901045678 (K)</w:t>
      </w:r>
    </w:p>
    <w:bookmarkEnd w:id="20"/>
    <w:bookmarkStart w:id="21" w:name="quotation-estimate"/>
    <w:p>
      <w:pPr>
        <w:pStyle w:val="Heading2"/>
      </w:pPr>
      <w:r>
        <w:t xml:space="preserve">QUOTATION ESTIMATE</w:t>
      </w:r>
    </w:p>
    <w:p>
      <w:pPr>
        <w:pStyle w:val="FirstParagraph"/>
      </w:pPr>
      <w:r>
        <w:t xml:space="preserve">Ref: QTE-2025-KL-0847</w:t>
      </w:r>
    </w:p>
    <w:p>
      <w:pPr>
        <w:pStyle w:val="BodyText"/>
      </w:pPr>
      <w:r>
        <w:t xml:space="preserve">Date: 15 June 2025</w:t>
      </w:r>
    </w:p>
    <w:p>
      <w:pPr>
        <w:pStyle w:val="BodyText"/>
      </w:pPr>
      <w:r>
        <w:t xml:space="preserve">Valid Until: 15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Meridian Digital Solutions Sdn. Bhd. to provide a comprehensive cost breakdown for the engagement of a dedicated</w:t>
      </w:r>
      <w:r>
        <w:t xml:space="preserve"> </w:t>
      </w:r>
      <w:r>
        <w:t xml:space="preserve">Software Engineer</w:t>
      </w:r>
      <w:r>
        <w:t xml:space="preserve"> </w:t>
      </w:r>
      <w:r>
        <w:t xml:space="preserve">to support the client's technology infrastructure and application development needs. This document serves as a formal</w:t>
      </w:r>
      <w:r>
        <w:t xml:space="preserve"> </w:t>
      </w:r>
      <w:r>
        <w:t xml:space="preserve">Quotation Estimate</w:t>
      </w:r>
      <w:r>
        <w:t xml:space="preserve"> </w:t>
      </w:r>
      <w:r>
        <w:t xml:space="preserve">for professional software engineering services to be delivered in</w:t>
      </w:r>
      <w:r>
        <w:t xml:space="preserve"> </w:t>
      </w:r>
      <w:r>
        <w:t xml:space="preserve">Malaysia Kuala Lumpur</w:t>
      </w:r>
      <w:r>
        <w:t xml:space="preserve">, and it outlines the scope, deliverables, timelines, and associated costs for the proposed engagement. All pricing in this</w:t>
      </w:r>
      <w:r>
        <w:t xml:space="preserve"> </w:t>
      </w:r>
      <w:r>
        <w:t xml:space="preserve">Quotation Estimate</w:t>
      </w:r>
      <w:r>
        <w:t xml:space="preserve"> </w:t>
      </w:r>
      <w:r>
        <w:t xml:space="preserve">is quoted in Malaysian Ringgit (MYR) and is subject to the terms and conditions stated herein.</w:t>
      </w:r>
    </w:p>
    <w:bookmarkEnd w:id="22"/>
    <w:bookmarkStart w:id="23" w:name="prepared-for-client"/>
    <w:p>
      <w:pPr>
        <w:pStyle w:val="Heading4"/>
      </w:pPr>
      <w:r>
        <w:t xml:space="preserve">Prepared For (Client)</w:t>
      </w:r>
    </w:p>
    <w:p>
      <w:pPr>
        <w:pStyle w:val="FirstParagraph"/>
      </w:pPr>
      <w:r>
        <w:rPr>
          <w:bCs/>
          <w:b/>
        </w:rPr>
        <w:t xml:space="preserve">Name:</w:t>
      </w:r>
      <w:r>
        <w:t xml:space="preserve"> </w:t>
      </w:r>
      <w:r>
        <w:t xml:space="preserve">Tan Wei Ming</w:t>
      </w:r>
    </w:p>
    <w:p>
      <w:pPr>
        <w:pStyle w:val="BodyText"/>
      </w:pPr>
      <w:r>
        <w:rPr>
          <w:bCs/>
          <w:b/>
        </w:rPr>
        <w:t xml:space="preserve">Company:</w:t>
      </w:r>
      <w:r>
        <w:t xml:space="preserve"> </w:t>
      </w:r>
      <w:r>
        <w:t xml:space="preserve">Nusantara Retail Group Sdn. Bhd.</w:t>
      </w:r>
    </w:p>
    <w:p>
      <w:pPr>
        <w:pStyle w:val="BodyText"/>
      </w:pPr>
      <w:r>
        <w:rPr>
          <w:bCs/>
          <w:b/>
        </w:rPr>
        <w:t xml:space="preserve">Address:</w:t>
      </w:r>
      <w:r>
        <w:t xml:space="preserve"> </w:t>
      </w:r>
      <w:r>
        <w:t xml:space="preserve">8th Floor, Plaza Sentral, Jalan Stesen Sentral 5, 50470 Kuala Lumpur, Malaysia</w:t>
      </w:r>
    </w:p>
    <w:p>
      <w:pPr>
        <w:pStyle w:val="BodyText"/>
      </w:pPr>
      <w:r>
        <w:rPr>
          <w:bCs/>
          <w:b/>
        </w:rPr>
        <w:t xml:space="preserve">Contact:</w:t>
      </w:r>
      <w:r>
        <w:t xml:space="preserve"> </w:t>
      </w:r>
      <w:r>
        <w:t xml:space="preserve">+603-2691-8800 | wm.tan@nusantararetail.my</w:t>
      </w:r>
    </w:p>
    <w:bookmarkEnd w:id="23"/>
    <w:bookmarkStart w:id="24" w:name="prepared-by-vendor"/>
    <w:p>
      <w:pPr>
        <w:pStyle w:val="Heading4"/>
      </w:pPr>
      <w:r>
        <w:t xml:space="preserve">Prepared By (Vendor)</w:t>
      </w:r>
    </w:p>
    <w:p>
      <w:pPr>
        <w:pStyle w:val="FirstParagraph"/>
      </w:pPr>
      <w:r>
        <w:rPr>
          <w:bCs/>
          <w:b/>
        </w:rPr>
        <w:t xml:space="preserve">Name:</w:t>
      </w:r>
      <w:r>
        <w:t xml:space="preserve"> </w:t>
      </w:r>
      <w:r>
        <w:t xml:space="preserve">Ahmad Faizal bin Rahman</w:t>
      </w:r>
    </w:p>
    <w:p>
      <w:pPr>
        <w:pStyle w:val="BodyText"/>
      </w:pPr>
      <w:r>
        <w:rPr>
          <w:bCs/>
          <w:b/>
        </w:rPr>
        <w:t xml:space="preserve">Role:</w:t>
      </w:r>
      <w:r>
        <w:t xml:space="preserve"> </w:t>
      </w:r>
      <w:r>
        <w:t xml:space="preserve">Senior Account Manager</w:t>
      </w:r>
    </w:p>
    <w:p>
      <w:pPr>
        <w:pStyle w:val="BodyText"/>
      </w:pPr>
      <w:r>
        <w:rPr>
          <w:bCs/>
          <w:b/>
        </w:rPr>
        <w:t xml:space="preserve">Company:</w:t>
      </w:r>
      <w:r>
        <w:t xml:space="preserve"> </w:t>
      </w:r>
      <w:r>
        <w:t xml:space="preserve">Meridian Digital Solutions Sdn. Bhd.</w:t>
      </w:r>
    </w:p>
    <w:p>
      <w:pPr>
        <w:pStyle w:val="BodyText"/>
      </w:pPr>
      <w:r>
        <w:rPr>
          <w:bCs/>
          <w:b/>
        </w:rPr>
        <w:t xml:space="preserve">Contact:</w:t>
      </w:r>
      <w:r>
        <w:t xml:space="preserve"> </w:t>
      </w:r>
      <w:r>
        <w:t xml:space="preserve">+603-2181-4567 | afaizal@meridiandigital.my</w:t>
      </w:r>
    </w:p>
    <w:bookmarkEnd w:id="24"/>
    <w:bookmarkStart w:id="25" w:name="scope-of-work-software-engineer-services"/>
    <w:p>
      <w:pPr>
        <w:pStyle w:val="Heading3"/>
      </w:pPr>
      <w:r>
        <w:t xml:space="preserve">2. Scope of Work – Software Engineer Services</w:t>
      </w:r>
    </w:p>
    <w:p>
      <w:pPr>
        <w:pStyle w:val="FirstParagraph"/>
      </w:pPr>
      <w:r>
        <w:t xml:space="preserve">The following</w:t>
      </w:r>
      <w:r>
        <w:t xml:space="preserve"> </w:t>
      </w:r>
      <w:r>
        <w:t xml:space="preserve">Quotation Estimate</w:t>
      </w:r>
      <w:r>
        <w:t xml:space="preserve"> </w:t>
      </w:r>
      <w:r>
        <w:t xml:space="preserve">covers the provision of a full-time, dedicated</w:t>
      </w:r>
      <w:r>
        <w:t xml:space="preserve"> </w:t>
      </w:r>
      <w:r>
        <w:t xml:space="preserve">Software Engineer</w:t>
      </w:r>
      <w:r>
        <w:t xml:space="preserve"> </w:t>
      </w:r>
      <w:r>
        <w:t xml:space="preserve">based in</w:t>
      </w:r>
      <w:r>
        <w:t xml:space="preserve"> </w:t>
      </w:r>
      <w:r>
        <w:t xml:space="preserve">Malaysia Kuala Lumpur</w:t>
      </w:r>
      <w:r>
        <w:t xml:space="preserve"> </w:t>
      </w:r>
      <w:r>
        <w:t xml:space="preserve">to perform the following duties and responsibilities for a period of twelve (12) months:</w:t>
      </w:r>
    </w:p>
    <w:p>
      <w:pPr>
        <w:numPr>
          <w:ilvl w:val="0"/>
          <w:numId w:val="1001"/>
        </w:numPr>
        <w:pStyle w:val="Compact"/>
      </w:pPr>
      <w:r>
        <w:t xml:space="preserve">Design, development, and maintenance of the client's proprietary e-commerce platform and internal inventory management system.</w:t>
      </w:r>
    </w:p>
    <w:p>
      <w:pPr>
        <w:numPr>
          <w:ilvl w:val="0"/>
          <w:numId w:val="1001"/>
        </w:numPr>
        <w:pStyle w:val="Compact"/>
      </w:pPr>
      <w:r>
        <w:t xml:space="preserve">Architecture design and implementation of microservices-based backend systems using Java, Python, and Node.js frameworks.</w:t>
      </w:r>
    </w:p>
    <w:p>
      <w:pPr>
        <w:numPr>
          <w:ilvl w:val="0"/>
          <w:numId w:val="1001"/>
        </w:numPr>
        <w:pStyle w:val="Compact"/>
      </w:pPr>
      <w:r>
        <w:t xml:space="preserve">Development and integration of RESTful APIs and GraphQL endpoints for third-party payment gateways (including Touch 'n Go, GrabPay, and FPX online banking).</w:t>
      </w:r>
    </w:p>
    <w:p>
      <w:pPr>
        <w:numPr>
          <w:ilvl w:val="0"/>
          <w:numId w:val="1001"/>
        </w:numPr>
        <w:pStyle w:val="Compact"/>
      </w:pPr>
      <w:r>
        <w:t xml:space="preserve">Cloud infrastructure management on AWS and Azure, with deployment pipelines configured for continuous integration and continuous deployment (CI/CD).</w:t>
      </w:r>
    </w:p>
    <w:p>
      <w:pPr>
        <w:numPr>
          <w:ilvl w:val="0"/>
          <w:numId w:val="1001"/>
        </w:numPr>
        <w:pStyle w:val="Compact"/>
      </w:pPr>
      <w:r>
        <w:t xml:space="preserve">Database administration and optimization for PostgreSQL and MongoDB instances, ensuring data integrity and performance benchmarks.</w:t>
      </w:r>
    </w:p>
    <w:p>
      <w:pPr>
        <w:numPr>
          <w:ilvl w:val="0"/>
          <w:numId w:val="1001"/>
        </w:numPr>
        <w:pStyle w:val="Compact"/>
      </w:pPr>
      <w:r>
        <w:t xml:space="preserve">Code review, technical documentation, and knowledge transfer sessions conducted bi-weekly with the client's internal IT team in Kuala Lumpur.</w:t>
      </w:r>
    </w:p>
    <w:p>
      <w:pPr>
        <w:numPr>
          <w:ilvl w:val="0"/>
          <w:numId w:val="1001"/>
        </w:numPr>
        <w:pStyle w:val="Compact"/>
      </w:pPr>
      <w:r>
        <w:t xml:space="preserve">Security auditing, penetration testing coordination, and compliance with the Personal Data Protection Act 2010 (PDPA) of Malaysia.</w:t>
      </w:r>
    </w:p>
    <w:p>
      <w:pPr>
        <w:numPr>
          <w:ilvl w:val="0"/>
          <w:numId w:val="1001"/>
        </w:numPr>
        <w:pStyle w:val="Compact"/>
      </w:pPr>
      <w:r>
        <w:t xml:space="preserve">On-site support availability at the client's office in Kuala Lumpur for a minimum of three (3) days per week, with remote support for the remaining days.</w:t>
      </w:r>
    </w:p>
    <w:bookmarkEnd w:id="25"/>
    <w:bookmarkStart w:id="26"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Software Engineer – Full-time engagement (on-site in Malaysia Kuala Lumpur, 3 days/week + remote)</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Software Engineer – Cloud Infrastructure &amp; DevOps Configuration (AWS/Azure setup, CI/CD pipelines)</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Software Engineer – API Integration &amp; Third-Party Payment Gateway Development</w:t>
            </w:r>
          </w:p>
        </w:tc>
        <w:tc>
          <w:tcPr/>
          <w:p>
            <w:pPr>
              <w:pStyle w:val="Compact"/>
              <w:jc w:val="left"/>
            </w:pPr>
            <w:r>
              <w:t xml:space="preserve">3 Months</w:t>
            </w:r>
          </w:p>
        </w:tc>
        <w:tc>
          <w:tcPr/>
          <w:p>
            <w:pPr>
              <w:pStyle w:val="Compact"/>
              <w:jc w:val="left"/>
            </w:pPr>
            <w:r>
              <w:t xml:space="preserve">12,000 / month</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Software Engineer – Security Audit &amp; PDPA Compliance Review</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15,500.00</w:t>
            </w:r>
          </w:p>
        </w:tc>
      </w:tr>
      <w:tr>
        <w:tc>
          <w:tcPr/>
          <w:p>
            <w:pPr>
              <w:pStyle w:val="Compact"/>
              <w:jc w:val="left"/>
            </w:pPr>
            <w:r>
              <w:t xml:space="preserve">5</w:t>
            </w:r>
          </w:p>
        </w:tc>
        <w:tc>
          <w:tcPr/>
          <w:p>
            <w:pPr>
              <w:pStyle w:val="Compact"/>
              <w:jc w:val="left"/>
            </w:pPr>
            <w:r>
              <w:t xml:space="preserve">Software Engineer – Technical Documentation &amp; Knowledge Transfer Sessions</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Software Engineer – Emergency After-Hours Support (up to 40 hours per year)</w:t>
            </w:r>
          </w:p>
        </w:tc>
        <w:tc>
          <w:tcPr/>
          <w:p>
            <w:pPr>
              <w:pStyle w:val="Compact"/>
              <w:jc w:val="left"/>
            </w:pPr>
            <w:r>
              <w:t xml:space="preserve">12 Months</w:t>
            </w:r>
          </w:p>
        </w:tc>
        <w:tc>
          <w:tcPr/>
          <w:p>
            <w:pPr>
              <w:pStyle w:val="Compact"/>
              <w:jc w:val="left"/>
            </w:pPr>
            <w:r>
              <w:t xml:space="preserve">350 / hour</w:t>
            </w:r>
          </w:p>
        </w:tc>
        <w:tc>
          <w:tcPr/>
          <w:p>
            <w:pPr>
              <w:pStyle w:val="Compact"/>
              <w:jc w:val="left"/>
            </w:pPr>
            <w:r>
              <w:t xml:space="preserve">14,000.00</w:t>
            </w:r>
          </w:p>
        </w:tc>
      </w:tr>
      <w:tr>
        <w:tc>
          <w:tcPr>
            <w:gridSpan w:val="4"/>
          </w:tcPr>
          <w:p>
            <w:pPr>
              <w:pStyle w:val="Compact"/>
              <w:jc w:val="right"/>
            </w:pPr>
            <w:r>
              <w:t xml:space="preserve">Subtotal</w:t>
            </w:r>
          </w:p>
        </w:tc>
        <w:tc>
          <w:tcPr/>
          <w:p>
            <w:pPr>
              <w:pStyle w:val="Compact"/>
              <w:jc w:val="left"/>
            </w:pPr>
            <w:r>
              <w:t xml:space="preserve">357,500.00</w:t>
            </w:r>
          </w:p>
        </w:tc>
      </w:tr>
      <w:tr>
        <w:tc>
          <w:tcPr>
            <w:gridSpan w:val="4"/>
          </w:tcPr>
          <w:p>
            <w:pPr>
              <w:pStyle w:val="Compact"/>
              <w:jc w:val="right"/>
            </w:pPr>
            <w:r>
              <w:t xml:space="preserve">Sales &amp; Service Tax (SST) @ 8%</w:t>
            </w:r>
          </w:p>
        </w:tc>
        <w:tc>
          <w:tcPr/>
          <w:p>
            <w:pPr>
              <w:pStyle w:val="Compact"/>
              <w:jc w:val="left"/>
            </w:pPr>
            <w:r>
              <w:t xml:space="preserve">28,600.00</w:t>
            </w:r>
          </w:p>
        </w:tc>
      </w:tr>
      <w:tr>
        <w:tc>
          <w:tcPr>
            <w:gridSpan w:val="4"/>
          </w:tcPr>
          <w:p>
            <w:pPr>
              <w:pStyle w:val="Compact"/>
              <w:jc w:val="right"/>
            </w:pPr>
            <w:r>
              <w:t xml:space="preserve">TOTAL QUOTATION ESTIMATE AMOUNT</w:t>
            </w:r>
          </w:p>
        </w:tc>
        <w:tc>
          <w:tcPr/>
          <w:p>
            <w:pPr>
              <w:pStyle w:val="Compact"/>
              <w:jc w:val="left"/>
            </w:pPr>
            <w:r>
              <w:t xml:space="preserve">MYR 386,100.00</w:t>
            </w:r>
          </w:p>
        </w:tc>
      </w:tr>
    </w:tbl>
    <w:bookmarkEnd w:id="26"/>
    <w:bookmarkStart w:id="27" w:name="payment-terms"/>
    <w:p>
      <w:pPr>
        <w:pStyle w:val="Heading3"/>
      </w:pPr>
      <w:r>
        <w:t xml:space="preserve">4. Payment Terms</w:t>
      </w:r>
    </w:p>
    <w:p>
      <w:pPr>
        <w:numPr>
          <w:ilvl w:val="0"/>
          <w:numId w:val="1002"/>
        </w:numPr>
        <w:pStyle w:val="Compact"/>
      </w:pPr>
      <w:r>
        <w:t xml:space="preserve">A 30% advance payment (MYR 115,830.00) is due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The remaining 70% shall be invoiced on a monthly basis, payable within thirty (30) days from the date of invoice issuance.</w:t>
      </w:r>
    </w:p>
    <w:p>
      <w:pPr>
        <w:numPr>
          <w:ilvl w:val="0"/>
          <w:numId w:val="1002"/>
        </w:numPr>
        <w:pStyle w:val="Compact"/>
      </w:pPr>
      <w:r>
        <w:t xml:space="preserve">All payments shall be made via bank transfer to the vendor's designated account in Malaysia. No cash payments will be accepted.</w:t>
      </w:r>
    </w:p>
    <w:p>
      <w:pPr>
        <w:numPr>
          <w:ilvl w:val="0"/>
          <w:numId w:val="1002"/>
        </w:numPr>
        <w:pStyle w:val="Compact"/>
      </w:pPr>
      <w:r>
        <w:t xml:space="preserve">Late payments shall attract a penalty of 2% per month on the outstanding balance, in accordance with the Late Payment of Outstanding Claims Act 2017 of Malaysia.</w:t>
      </w:r>
    </w:p>
    <w:bookmarkEnd w:id="27"/>
    <w:bookmarkStart w:id="28"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w:t>
      </w:r>
      <w:r>
        <w:t xml:space="preserve"> </w:t>
      </w:r>
      <w:r>
        <w:t xml:space="preserve">Malaysia Kuala Lumpur</w:t>
      </w:r>
      <w:r>
        <w:t xml:space="preserve">.</w:t>
      </w:r>
    </w:p>
    <w:p>
      <w:pPr>
        <w:numPr>
          <w:ilvl w:val="0"/>
          <w:numId w:val="1003"/>
        </w:numPr>
        <w:pStyle w:val="Compact"/>
      </w:pPr>
      <w:r>
        <w:t xml:space="preserve">The</w:t>
      </w:r>
      <w:r>
        <w:t xml:space="preserve"> </w:t>
      </w:r>
      <w:r>
        <w:t xml:space="preserve">Software Engineer</w:t>
      </w:r>
      <w:r>
        <w:t xml:space="preserve"> </w:t>
      </w:r>
      <w:r>
        <w:t xml:space="preserve">assigned to this project shall be a qualified professional with a minimum of seven (7) years of relevant experience. The client reserves the right to request a replacement if performance does not meet the agreed service-level objectives (SLOs).</w:t>
      </w:r>
    </w:p>
    <w:p>
      <w:pPr>
        <w:numPr>
          <w:ilvl w:val="0"/>
          <w:numId w:val="1003"/>
        </w:numPr>
        <w:pStyle w:val="Compact"/>
      </w:pPr>
      <w:r>
        <w:t xml:space="preserve">All intellectual property developed specifically for the client under this engagement shall be the sole property of the client upon full payment. The vendor retains ownership of pre-existing tools, frameworks, and methodologies.</w:t>
      </w:r>
    </w:p>
    <w:p>
      <w:pPr>
        <w:numPr>
          <w:ilvl w:val="0"/>
          <w:numId w:val="1003"/>
        </w:numPr>
        <w:pStyle w:val="Compact"/>
      </w:pPr>
      <w:r>
        <w:t xml:space="preserve">The vendor shall maintain professional indemnity insurance and cyber liability coverage in accordance with Malaysian regulatory requirements.</w:t>
      </w:r>
    </w:p>
    <w:p>
      <w:pPr>
        <w:numPr>
          <w:ilvl w:val="0"/>
          <w:numId w:val="1003"/>
        </w:numPr>
        <w:pStyle w:val="Compact"/>
      </w:pPr>
      <w:r>
        <w:t xml:space="preserve">Either party may terminate the engagement with a written notice of sixty (60) days. In such an event, the client shall be liable for all services rendered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p>
      <w:pPr>
        <w:numPr>
          <w:ilvl w:val="0"/>
          <w:numId w:val="1003"/>
        </w:numPr>
        <w:pStyle w:val="Compact"/>
      </w:pPr>
      <w:r>
        <w:t xml:space="preserve">All disputes arising from this engagement shall be resolved through mediation in</w:t>
      </w:r>
      <w:r>
        <w:t xml:space="preserve"> </w:t>
      </w:r>
      <w:r>
        <w:t xml:space="preserve">Malaysia Kuala Lumpur</w:t>
      </w:r>
      <w:r>
        <w:t xml:space="preserve"> </w:t>
      </w:r>
      <w:r>
        <w:t xml:space="preserve">before any litigation is pursued, in accordance with the laws of Malaysia.</w:t>
      </w:r>
    </w:p>
    <w:bookmarkEnd w:id="28"/>
    <w:bookmarkStart w:id="29" w:name="acceptance-and-authorization"/>
    <w:p>
      <w:pPr>
        <w:pStyle w:val="Heading3"/>
      </w:pPr>
      <w:r>
        <w:t xml:space="preserve">6.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in</w:t>
      </w:r>
      <w:r>
        <w:t xml:space="preserve"> </w:t>
      </w:r>
      <w:r>
        <w:t xml:space="preserve">Malaysia Kuala Lumpur</w:t>
      </w:r>
      <w:r>
        <w:t xml:space="preserve">.</w:t>
      </w:r>
    </w:p>
    <w:p>
      <w:pPr>
        <w:pStyle w:val="BodyText"/>
      </w:pPr>
      <w:r>
        <w:rPr>
          <w:bCs/>
          <w:b/>
        </w:rPr>
        <w:t xml:space="preserve">For and on behalf of the Client:</w:t>
      </w:r>
    </w:p>
    <w:p>
      <w:pPr>
        <w:pStyle w:val="BodyText"/>
      </w:pPr>
      <w:r>
        <w:t xml:space="preserve">Nusantara Retail Group Sdn. Bhd.</w:t>
      </w:r>
    </w:p>
    <w:p>
      <w:pPr>
        <w:pStyle w:val="BodyText"/>
      </w:pPr>
      <w:r>
        <w:t xml:space="preserve">Name: ___________________________</w:t>
      </w:r>
    </w:p>
    <w:p>
      <w:pPr>
        <w:pStyle w:val="BodyText"/>
      </w:pPr>
      <w:r>
        <w:t xml:space="preserve">Designation: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Meridian Digital Solutions Sdn. Bhd.</w:t>
      </w:r>
    </w:p>
    <w:p>
      <w:pPr>
        <w:pStyle w:val="BodyText"/>
      </w:pPr>
      <w:r>
        <w:t xml:space="preserve">Name: ___________________________</w:t>
      </w:r>
    </w:p>
    <w:p>
      <w:pPr>
        <w:pStyle w:val="BodyText"/>
      </w:pPr>
      <w:r>
        <w:t xml:space="preserve">Designation: ___________________________</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 Quotation Estimate (Ref: QTE-2025-KL-0847) is the property of Meridian Digital Solutions Sdn. Bhd. and is intended solely for the use of the addressee. Unauthorized reproduction or distribution is prohibited. All services are to be performed in Malaysia Kuala Lumpur in compliance with applicable Malaysian laws and regulations. © 2025 Meridian Digital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Malaysia Kuala Lumpur</dc:title>
  <dc:creator/>
  <dc:language>en</dc:language>
  <cp:keywords/>
  <dcterms:created xsi:type="dcterms:W3CDTF">2026-10-10T04:29:44Z</dcterms:created>
  <dcterms:modified xsi:type="dcterms:W3CDTF">2026-10-10T04:29:44Z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