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20" w:name="amsterdam-digital-solutions-b.v."/>
    <w:p>
      <w:pPr>
        <w:pStyle w:val="Heading1"/>
      </w:pPr>
      <w:r>
        <w:t xml:space="preserve">Amsterdam Digital Solutions B.V.</w:t>
      </w:r>
    </w:p>
    <w:p>
      <w:pPr>
        <w:pStyle w:val="FirstParagraph"/>
      </w:pPr>
      <w:r>
        <w:t xml:space="preserve">Keizersgracht 420, 1016 GC Amsterdam, Netherlands</w:t>
      </w:r>
    </w:p>
    <w:p>
      <w:pPr>
        <w:pStyle w:val="BodyText"/>
      </w:pPr>
      <w:r>
        <w:t xml:space="preserve">Tel: +31 20 123 4567 | Email: quotations@amsterdamdigitalsolutions.nl</w:t>
      </w:r>
    </w:p>
    <w:p>
      <w:pPr>
        <w:pStyle w:val="BodyText"/>
      </w:pPr>
      <w:r>
        <w:t xml:space="preserve">KvK: 87654321 | VAT: NL861234567B01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QTE-2025-AMST-0047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Netherlands Amsterdam</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Address], Netherlands Amsterdam</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[client@email.com]</w:t>
      </w:r>
    </w:p>
    <w:bookmarkEnd w:id="22"/>
    <w:bookmarkStart w:id="23" w:name="scope-of-work-software-engineer-services"/>
    <w:p>
      <w:pPr>
        <w:pStyle w:val="Heading2"/>
      </w:pPr>
      <w:r>
        <w:t xml:space="preserve">1. Scope of Work – Software Engineer Services</w:t>
      </w:r>
    </w:p>
    <w:p>
      <w:pPr>
        <w:pStyle w:val="FirstParagraph"/>
      </w:pPr>
      <w:r>
        <w:t xml:space="preserve">This</w:t>
      </w:r>
      <w:r>
        <w:t xml:space="preserve"> </w:t>
      </w:r>
      <w:r>
        <w:t xml:space="preserve">Quotation Estimate</w:t>
      </w:r>
      <w:r>
        <w:t xml:space="preserve"> </w:t>
      </w:r>
      <w:r>
        <w:t xml:space="preserve">is prepared for the provision of a dedicated</w:t>
      </w:r>
      <w:r>
        <w:t xml:space="preserve"> </w:t>
      </w:r>
      <w:r>
        <w:t xml:space="preserve">Software Engineer</w:t>
      </w:r>
      <w:r>
        <w:t xml:space="preserve"> </w:t>
      </w:r>
      <w:r>
        <w:t xml:space="preserve">to support the client's technology operations within</w:t>
      </w:r>
      <w:r>
        <w:t xml:space="preserve"> </w:t>
      </w:r>
      <w:r>
        <w:t xml:space="preserve">Netherlands Amsterdam</w:t>
      </w:r>
      <w:r>
        <w:t xml:space="preserve">. The</w:t>
      </w:r>
      <w:r>
        <w:t xml:space="preserve"> </w:t>
      </w:r>
      <w:r>
        <w:t xml:space="preserve">Software Engineer</w:t>
      </w:r>
      <w:r>
        <w:t xml:space="preserve"> </w:t>
      </w:r>
      <w:r>
        <w:t xml:space="preserve">will be embedded within the client's development team and will operate from the client's premises located in the Amsterdam business district, ensuring seamless integration with existing workflows and corporate culture.</w:t>
      </w:r>
    </w:p>
    <w:p>
      <w:pPr>
        <w:pStyle w:val="BodyText"/>
      </w:pPr>
      <w:r>
        <w:t xml:space="preserve">The</w:t>
      </w:r>
      <w:r>
        <w:t xml:space="preserve"> </w:t>
      </w:r>
      <w:r>
        <w:t xml:space="preserve">Software Engineer</w:t>
      </w:r>
      <w:r>
        <w:t xml:space="preserve"> </w:t>
      </w:r>
      <w:r>
        <w:t xml:space="preserve">will be responsible for the full software development lifecycle, including requirements analysis, system architecture design, coding, unit testing, code reviews, deployment, and ongoing maintenance of enterprise-grade applications. The role demands proficiency in modern programming languages, cloud infrastructure, and agile development methodologies. All deliverables will be produced in accordance with the client's quality standards and the regulatory framework applicable in the Netherlands.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Senior Software Engineer – Full-time engagement (40 hrs/week) in Netherlands Amsterdam</w:t>
            </w:r>
          </w:p>
        </w:tc>
        <w:tc>
          <w:tcPr/>
          <w:p>
            <w:pPr>
              <w:pStyle w:val="Compact"/>
              <w:jc w:val="left"/>
            </w:pPr>
            <w:r>
              <w:t xml:space="preserve">12 months</w:t>
            </w:r>
          </w:p>
        </w:tc>
        <w:tc>
          <w:tcPr/>
          <w:p>
            <w:pPr>
              <w:pStyle w:val="Compact"/>
              <w:jc w:val="left"/>
            </w:pPr>
            <w:r>
              <w:t xml:space="preserve">€850 / day</w:t>
            </w:r>
          </w:p>
        </w:tc>
        <w:tc>
          <w:tcPr/>
          <w:p>
            <w:pPr>
              <w:pStyle w:val="Compact"/>
              <w:jc w:val="left"/>
            </w:pPr>
            <w:r>
              <w:t xml:space="preserve">€263,500.00</w:t>
            </w:r>
          </w:p>
        </w:tc>
      </w:tr>
      <w:tr>
        <w:tc>
          <w:tcPr/>
          <w:p>
            <w:pPr>
              <w:pStyle w:val="Compact"/>
              <w:jc w:val="left"/>
            </w:pPr>
            <w:r>
              <w:t xml:space="preserve">2</w:t>
            </w:r>
          </w:p>
        </w:tc>
        <w:tc>
          <w:tcPr/>
          <w:p>
            <w:pPr>
              <w:pStyle w:val="Compact"/>
              <w:jc w:val="left"/>
            </w:pPr>
            <w:r>
              <w:t xml:space="preserve">Onboarding &amp; Integration – Initial setup, access provisioning, and team alignment in Netherlands Amsterdam</w:t>
            </w:r>
          </w:p>
        </w:tc>
        <w:tc>
          <w:tcPr/>
          <w:p>
            <w:pPr>
              <w:pStyle w:val="Compact"/>
              <w:jc w:val="left"/>
            </w:pPr>
            <w:r>
              <w:t xml:space="preserve">2 weeks</w:t>
            </w:r>
          </w:p>
        </w:tc>
        <w:tc>
          <w:tcPr/>
          <w:p>
            <w:pPr>
              <w:pStyle w:val="Compact"/>
              <w:jc w:val="left"/>
            </w:pPr>
            <w:r>
              <w:t xml:space="preserve">€1,700 / day</w:t>
            </w:r>
          </w:p>
        </w:tc>
        <w:tc>
          <w:tcPr/>
          <w:p>
            <w:pPr>
              <w:pStyle w:val="Compact"/>
              <w:jc w:val="left"/>
            </w:pPr>
            <w:r>
              <w:t xml:space="preserve">€34,000.00</w:t>
            </w:r>
          </w:p>
        </w:tc>
      </w:tr>
      <w:tr>
        <w:tc>
          <w:tcPr/>
          <w:p>
            <w:pPr>
              <w:pStyle w:val="Compact"/>
              <w:jc w:val="left"/>
            </w:pPr>
            <w:r>
              <w:t xml:space="preserve">3</w:t>
            </w:r>
          </w:p>
        </w:tc>
        <w:tc>
          <w:tcPr/>
          <w:p>
            <w:pPr>
              <w:pStyle w:val="Compact"/>
              <w:jc w:val="left"/>
            </w:pPr>
            <w:r>
              <w:t xml:space="preserve">Technical Architecture Review – System design documentation and codebase assessment</w:t>
            </w:r>
          </w:p>
        </w:tc>
        <w:tc>
          <w:tcPr/>
          <w:p>
            <w:pPr>
              <w:pStyle w:val="Compact"/>
              <w:jc w:val="left"/>
            </w:pPr>
            <w:r>
              <w:t xml:space="preserve">1 week</w:t>
            </w:r>
          </w:p>
        </w:tc>
        <w:tc>
          <w:tcPr/>
          <w:p>
            <w:pPr>
              <w:pStyle w:val="Compact"/>
              <w:jc w:val="left"/>
            </w:pPr>
            <w:r>
              <w:t xml:space="preserve">€1,700 / day</w:t>
            </w:r>
          </w:p>
        </w:tc>
        <w:tc>
          <w:tcPr/>
          <w:p>
            <w:pPr>
              <w:pStyle w:val="Compact"/>
              <w:jc w:val="left"/>
            </w:pPr>
            <w:r>
              <w:t xml:space="preserve">€17,000.00</w:t>
            </w:r>
          </w:p>
        </w:tc>
      </w:tr>
      <w:tr>
        <w:tc>
          <w:tcPr/>
          <w:p>
            <w:pPr>
              <w:pStyle w:val="Compact"/>
              <w:jc w:val="left"/>
            </w:pPr>
            <w:r>
              <w:t xml:space="preserve">4</w:t>
            </w:r>
          </w:p>
        </w:tc>
        <w:tc>
          <w:tcPr/>
          <w:p>
            <w:pPr>
              <w:pStyle w:val="Compact"/>
              <w:jc w:val="left"/>
            </w:pPr>
            <w:r>
              <w:t xml:space="preserve">Agile Sprint Facilitation &amp; Scrum Support – Daily stand-ups, sprint planning, retrospectives</w:t>
            </w:r>
          </w:p>
        </w:tc>
        <w:tc>
          <w:tcPr/>
          <w:p>
            <w:pPr>
              <w:pStyle w:val="Compact"/>
              <w:jc w:val="left"/>
            </w:pPr>
            <w:r>
              <w:t xml:space="preserve">12 months</w:t>
            </w:r>
          </w:p>
        </w:tc>
        <w:tc>
          <w:tcPr/>
          <w:p>
            <w:pPr>
              <w:pStyle w:val="Compact"/>
              <w:jc w:val="left"/>
            </w:pPr>
            <w:r>
              <w:t xml:space="preserve">€425 / day</w:t>
            </w:r>
          </w:p>
        </w:tc>
        <w:tc>
          <w:tcPr/>
          <w:p>
            <w:pPr>
              <w:pStyle w:val="Compact"/>
              <w:jc w:val="left"/>
            </w:pPr>
            <w:r>
              <w:t xml:space="preserve">€131,750.00</w:t>
            </w:r>
          </w:p>
        </w:tc>
      </w:tr>
      <w:tr>
        <w:tc>
          <w:tcPr/>
          <w:p>
            <w:pPr>
              <w:pStyle w:val="Compact"/>
              <w:jc w:val="left"/>
            </w:pPr>
            <w:r>
              <w:t xml:space="preserve">5</w:t>
            </w:r>
          </w:p>
        </w:tc>
        <w:tc>
          <w:tcPr/>
          <w:p>
            <w:pPr>
              <w:pStyle w:val="Compact"/>
              <w:jc w:val="left"/>
            </w:pPr>
            <w:r>
              <w:t xml:space="preserve">Knowledge Transfer &amp; Documentation – Comprehensive handover documentation and training sessions</w:t>
            </w:r>
          </w:p>
        </w:tc>
        <w:tc>
          <w:tcPr/>
          <w:p>
            <w:pPr>
              <w:pStyle w:val="Compact"/>
              <w:jc w:val="left"/>
            </w:pPr>
            <w:r>
              <w:t xml:space="preserve">2 weeks</w:t>
            </w:r>
          </w:p>
        </w:tc>
        <w:tc>
          <w:tcPr/>
          <w:p>
            <w:pPr>
              <w:pStyle w:val="Compact"/>
              <w:jc w:val="left"/>
            </w:pPr>
            <w:r>
              <w:t xml:space="preserve">€1,700 / day</w:t>
            </w:r>
          </w:p>
        </w:tc>
        <w:tc>
          <w:tcPr/>
          <w:p>
            <w:pPr>
              <w:pStyle w:val="Compact"/>
              <w:jc w:val="left"/>
            </w:pPr>
            <w:r>
              <w:t xml:space="preserve">€34,000.00</w:t>
            </w:r>
          </w:p>
        </w:tc>
      </w:tr>
      <w:tr>
        <w:tc>
          <w:tcPr/>
          <w:p>
            <w:pPr>
              <w:pStyle w:val="Compact"/>
              <w:jc w:val="left"/>
            </w:pPr>
            <w:r>
              <w:t xml:space="preserve">6</w:t>
            </w:r>
          </w:p>
        </w:tc>
        <w:tc>
          <w:tcPr/>
          <w:p>
            <w:pPr>
              <w:pStyle w:val="Compact"/>
              <w:jc w:val="left"/>
            </w:pPr>
            <w:r>
              <w:t xml:space="preserve">Travel &amp; Local Transportation – Daily commuting within Netherlands Amsterdam</w:t>
            </w:r>
          </w:p>
        </w:tc>
        <w:tc>
          <w:tcPr/>
          <w:p>
            <w:pPr>
              <w:pStyle w:val="Compact"/>
              <w:jc w:val="left"/>
            </w:pPr>
            <w:r>
              <w:t xml:space="preserve">12 months</w:t>
            </w:r>
          </w:p>
        </w:tc>
        <w:tc>
          <w:tcPr/>
          <w:p>
            <w:pPr>
              <w:pStyle w:val="Compact"/>
              <w:jc w:val="left"/>
            </w:pPr>
            <w:r>
              <w:t xml:space="preserve">€50 / day</w:t>
            </w:r>
          </w:p>
        </w:tc>
        <w:tc>
          <w:tcPr/>
          <w:p>
            <w:pPr>
              <w:pStyle w:val="Compact"/>
              <w:jc w:val="left"/>
            </w:pPr>
            <w:r>
              <w:t xml:space="preserve">€15,500.00</w:t>
            </w:r>
          </w:p>
        </w:tc>
      </w:tr>
      <w:tr>
        <w:tc>
          <w:tcPr/>
          <w:p>
            <w:pPr>
              <w:pStyle w:val="Compact"/>
              <w:jc w:val="left"/>
            </w:pPr>
            <w:r>
              <w:t xml:space="preserve">7</w:t>
            </w:r>
          </w:p>
        </w:tc>
        <w:tc>
          <w:tcPr/>
          <w:p>
            <w:pPr>
              <w:pStyle w:val="Compact"/>
              <w:jc w:val="left"/>
            </w:pPr>
            <w:r>
              <w:t xml:space="preserve">Project Management &amp; Reporting – Monthly progress reports, KPI tracking, and stakeholder communication</w:t>
            </w:r>
          </w:p>
        </w:tc>
        <w:tc>
          <w:tcPr/>
          <w:p>
            <w:pPr>
              <w:pStyle w:val="Compact"/>
              <w:jc w:val="left"/>
            </w:pPr>
            <w:r>
              <w:t xml:space="preserve">12 months</w:t>
            </w:r>
          </w:p>
        </w:tc>
        <w:tc>
          <w:tcPr/>
          <w:p>
            <w:pPr>
              <w:pStyle w:val="Compact"/>
              <w:jc w:val="left"/>
            </w:pPr>
            <w:r>
              <w:t xml:space="preserve">€250 / day</w:t>
            </w:r>
          </w:p>
        </w:tc>
        <w:tc>
          <w:tcPr/>
          <w:p>
            <w:pPr>
              <w:pStyle w:val="Compact"/>
              <w:jc w:val="left"/>
            </w:pPr>
            <w:r>
              <w:t xml:space="preserve">€77,500.00</w:t>
            </w:r>
          </w:p>
        </w:tc>
      </w:tr>
      <w:tr>
        <w:tc>
          <w:tcPr>
            <w:gridSpan w:val="4"/>
          </w:tcPr>
          <w:p>
            <w:pPr>
              <w:pStyle w:val="Compact"/>
              <w:jc w:val="left"/>
            </w:pPr>
            <w:r>
              <w:t xml:space="preserve">Subtotal</w:t>
            </w:r>
          </w:p>
        </w:tc>
        <w:tc>
          <w:tcPr/>
          <w:p>
            <w:pPr>
              <w:pStyle w:val="Compact"/>
              <w:jc w:val="left"/>
            </w:pPr>
            <w:r>
              <w:t xml:space="preserve">€573,250.00</w:t>
            </w:r>
          </w:p>
        </w:tc>
      </w:tr>
      <w:tr>
        <w:tc>
          <w:tcPr>
            <w:gridSpan w:val="4"/>
          </w:tcPr>
          <w:p>
            <w:pPr>
              <w:pStyle w:val="Compact"/>
              <w:jc w:val="left"/>
            </w:pPr>
            <w:r>
              <w:t xml:space="preserve">VAT (21% – Netherlands)</w:t>
            </w:r>
          </w:p>
        </w:tc>
        <w:tc>
          <w:tcPr/>
          <w:p>
            <w:pPr>
              <w:pStyle w:val="Compact"/>
              <w:jc w:val="left"/>
            </w:pPr>
            <w:r>
              <w:t xml:space="preserve">€120,382.50</w:t>
            </w:r>
          </w:p>
        </w:tc>
      </w:tr>
      <w:tr>
        <w:tc>
          <w:tcPr>
            <w:gridSpan w:val="4"/>
          </w:tcPr>
          <w:p>
            <w:pPr>
              <w:pStyle w:val="Compact"/>
              <w:jc w:val="left"/>
            </w:pPr>
            <w:r>
              <w:rPr>
                <w:bCs/>
                <w:b/>
              </w:rPr>
              <w:t xml:space="preserve">TOTAL (EUR)</w:t>
            </w:r>
          </w:p>
        </w:tc>
        <w:tc>
          <w:tcPr/>
          <w:p>
            <w:pPr>
              <w:pStyle w:val="Compact"/>
              <w:jc w:val="left"/>
            </w:pPr>
            <w:r>
              <w:rPr>
                <w:bCs/>
                <w:b/>
              </w:rPr>
              <w:t xml:space="preserve">€693,632.50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market conditions in the Netherlands Amsterdam technology sector.</w:t>
      </w:r>
    </w:p>
    <w:p>
      <w:pPr>
        <w:numPr>
          <w:ilvl w:val="0"/>
          <w:numId w:val="1001"/>
        </w:numPr>
        <w:pStyle w:val="Compact"/>
      </w:pPr>
      <w:r>
        <w:rPr>
          <w:bCs/>
          <w:b/>
        </w:rPr>
        <w:t xml:space="preserve">Payment Terms:</w:t>
      </w:r>
      <w:r>
        <w:t xml:space="preserve"> </w:t>
      </w:r>
      <w:r>
        <w:t xml:space="preserve">Invoices will be issued monthly in arrears. Payment is due within thirty (30) days of invoice date via bank transfer to the account specified on the invoice. Late payments will incur interest at the statutory Dutch rate.</w:t>
      </w:r>
    </w:p>
    <w:p>
      <w:pPr>
        <w:numPr>
          <w:ilvl w:val="0"/>
          <w:numId w:val="1001"/>
        </w:numPr>
        <w:pStyle w:val="Compact"/>
      </w:pPr>
      <w:r>
        <w:rPr>
          <w:bCs/>
          <w:b/>
        </w:rPr>
        <w:t xml:space="preserve">Commencement:</w:t>
      </w:r>
      <w:r>
        <w:t xml:space="preserve"> </w:t>
      </w:r>
      <w:r>
        <w:t xml:space="preserve">The</w:t>
      </w:r>
      <w:r>
        <w:t xml:space="preserve"> </w:t>
      </w:r>
      <w:r>
        <w:t xml:space="preserve">Software Engineer</w:t>
      </w:r>
      <w:r>
        <w:t xml:space="preserve"> </w:t>
      </w:r>
      <w:r>
        <w:t xml:space="preserve">engagement will commence no earlier than five (5) business days following written acceptance of this</w:t>
      </w:r>
      <w:r>
        <w:t xml:space="preserve"> </w:t>
      </w:r>
      <w:r>
        <w:t xml:space="preserve">Quotation Estimate</w:t>
      </w:r>
      <w:r>
        <w:t xml:space="preserve"> </w:t>
      </w:r>
      <w:r>
        <w:t xml:space="preserve">and execution of the Master Service Agreement (MSA).</w:t>
      </w:r>
    </w:p>
    <w:p>
      <w:pPr>
        <w:numPr>
          <w:ilvl w:val="0"/>
          <w:numId w:val="1001"/>
        </w:numPr>
        <w:pStyle w:val="Compact"/>
      </w:pPr>
      <w:r>
        <w:rPr>
          <w:bCs/>
          <w:b/>
        </w:rPr>
        <w:t xml:space="preserve">Working Location:</w:t>
      </w:r>
      <w:r>
        <w:t xml:space="preserve"> </w:t>
      </w:r>
      <w:r>
        <w:t xml:space="preserve">The</w:t>
      </w:r>
      <w:r>
        <w:t xml:space="preserve"> </w:t>
      </w:r>
      <w:r>
        <w:t xml:space="preserve">Software Engineer</w:t>
      </w:r>
      <w:r>
        <w:t xml:space="preserve"> </w:t>
      </w:r>
      <w:r>
        <w:t xml:space="preserve">will be based at the client's office in Netherlands Amsterdam. Any change of location within the Netherlands Amsterdam metropolitan area will not incur additional charges. Relocation to a different Dutch city will require a revised</w:t>
      </w:r>
      <w:r>
        <w:t xml:space="preserve"> </w:t>
      </w:r>
      <w:r>
        <w:t xml:space="preserve">Quotation Estimate</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Software Engineer</w:t>
      </w:r>
      <w:r>
        <w:t xml:space="preserve"> </w:t>
      </w:r>
      <w:r>
        <w:t xml:space="preserve">will be bound by a strict Non-Disclosure Agreement (NDA) in compliance with the Dutch Data Protection Act (UAVG) and the EU General Data Protection Regulation (GDPR).</w:t>
      </w:r>
    </w:p>
    <w:p>
      <w:pPr>
        <w:numPr>
          <w:ilvl w:val="0"/>
          <w:numId w:val="1001"/>
        </w:numPr>
        <w:pStyle w:val="Compact"/>
      </w:pPr>
      <w:r>
        <w:rPr>
          <w:bCs/>
          <w:b/>
        </w:rPr>
        <w:t xml:space="preserve">Substitution:</w:t>
      </w:r>
      <w:r>
        <w:t xml:space="preserve"> </w:t>
      </w:r>
      <w:r>
        <w:t xml:space="preserve">In the event the assigned</w:t>
      </w:r>
      <w:r>
        <w:t xml:space="preserve"> </w:t>
      </w:r>
      <w:r>
        <w:t xml:space="preserve">Software Engineer</w:t>
      </w:r>
      <w:r>
        <w:t xml:space="preserve"> </w:t>
      </w:r>
      <w:r>
        <w:t xml:space="preserve">is unavailable for more than five (5) consecutive business days, a replacement of equivalent or superior qualification will be provided at no additional cost. The client must approve any substitution in writing.</w:t>
      </w:r>
    </w:p>
    <w:p>
      <w:pPr>
        <w:numPr>
          <w:ilvl w:val="0"/>
          <w:numId w:val="1001"/>
        </w:numPr>
        <w:pStyle w:val="Compact"/>
      </w:pPr>
      <w:r>
        <w:rPr>
          <w:bCs/>
          <w:b/>
        </w:rPr>
        <w:t xml:space="preserve">Termination:</w:t>
      </w:r>
      <w:r>
        <w:t xml:space="preserve"> </w:t>
      </w:r>
      <w:r>
        <w:t xml:space="preserve">Either party may terminate the engagement with thirty (30) days' written notice. In case of termination, the client will be invoiced for all services rendered up to the effective termination date.</w:t>
      </w:r>
    </w:p>
    <w:p>
      <w:pPr>
        <w:numPr>
          <w:ilvl w:val="0"/>
          <w:numId w:val="1001"/>
        </w:numPr>
        <w:pStyle w:val="Compact"/>
      </w:pPr>
      <w:r>
        <w:rPr>
          <w:bCs/>
          <w:b/>
        </w:rPr>
        <w:t xml:space="preserve">Intellectual Property:</w:t>
      </w:r>
      <w:r>
        <w:t xml:space="preserve"> </w:t>
      </w:r>
      <w:r>
        <w:t xml:space="preserve">All code, documentation, and deliverables produced by the</w:t>
      </w:r>
      <w:r>
        <w:t xml:space="preserve"> </w:t>
      </w:r>
      <w:r>
        <w:t xml:space="preserve">Software Engineer</w:t>
      </w:r>
      <w:r>
        <w:t xml:space="preserve"> </w:t>
      </w:r>
      <w:r>
        <w:t xml:space="preserve">during the engagement shall become the exclusive property of the client upon full payment.</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and interpreted in accordance with the laws of the Netherlands. Disputes shall be resolved by the competent courts in Amsterdam, Netherlands.</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reasonable control, including but not limited to natural disasters, pandemics, or government-mandated closures affecting operations in Netherlands Amsterdam.</w:t>
      </w:r>
    </w:p>
    <w:bookmarkEnd w:id="25"/>
    <w:bookmarkStart w:id="28" w:name="acceptance-and-authorization"/>
    <w:p>
      <w:pPr>
        <w:pStyle w:val="Heading2"/>
      </w:pPr>
      <w:r>
        <w:t xml:space="preserve">4.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 a</w:t>
      </w:r>
      <w:r>
        <w:t xml:space="preserve"> </w:t>
      </w:r>
      <w:r>
        <w:t xml:space="preserve">Software Engineer</w:t>
      </w:r>
      <w:r>
        <w:t xml:space="preserve"> </w:t>
      </w:r>
      <w:r>
        <w:t xml:space="preserve">in</w:t>
      </w:r>
      <w:r>
        <w:t xml:space="preserve"> </w:t>
      </w:r>
      <w:r>
        <w:t xml:space="preserve">Netherlands Amsterdam</w:t>
      </w:r>
      <w:r>
        <w:t xml:space="preserve"> </w:t>
      </w:r>
      <w:r>
        <w:t xml:space="preserve">under the terms and conditions outlined above.</w:t>
      </w:r>
    </w:p>
    <w:bookmarkStart w:id="26" w:name="for-amsterdam-digital-solutions-b.v."/>
    <w:p>
      <w:pPr>
        <w:pStyle w:val="Heading4"/>
      </w:pPr>
      <w:r>
        <w:t xml:space="preserve">For Amsterdam Digital Solutions B.V.</w:t>
      </w:r>
    </w:p>
    <w:p>
      <w:pPr>
        <w:pStyle w:val="FirstParagraph"/>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Signature</w:t>
      </w:r>
    </w:p>
    <w:bookmarkEnd w:id="26"/>
    <w:bookmarkStart w:id="27" w:name="for-client-company-name"/>
    <w:p>
      <w:pPr>
        <w:pStyle w:val="Heading4"/>
      </w:pPr>
      <w:r>
        <w:t xml:space="preserve">For [Client Company Name]</w:t>
      </w:r>
    </w:p>
    <w:p>
      <w:pPr>
        <w:pStyle w:val="FirstParagraph"/>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Signature</w:t>
      </w:r>
    </w:p>
    <w:bookmarkEnd w:id="27"/>
    <w:p>
      <w:pPr>
        <w:pStyle w:val="BodyText"/>
      </w:pPr>
      <w:r>
        <w:t xml:space="preserve">Quotation Estimate QTE-2025-AMST-0047 | Amsterdam Digital Solutions B.V. | Netherlands Amsterdam</w:t>
      </w:r>
    </w:p>
    <w:p>
      <w:pPr>
        <w:pStyle w:val="BodyText"/>
      </w:pPr>
      <w:r>
        <w:t xml:space="preserve">This document is confidential and intended solely for the named recipient. Unauthorized distribution is prohibited.</w:t>
      </w:r>
    </w:p>
    <w:p>
      <w:pPr>
        <w:pStyle w:val="BodyText"/>
      </w:pPr>
      <w:r>
        <w:t xml:space="preserve">© 2025 Amsterdam Digital Solutions B.V.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Netherlands Amsterdam</dc:title>
  <dc:creator/>
  <dc:language>en</dc:language>
  <cp:keywords/>
  <dcterms:created xsi:type="dcterms:W3CDTF">2026-10-10T02:38:40Z</dcterms:created>
  <dcterms:modified xsi:type="dcterms:W3CDTF">2026-10-10T02:38:40Z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