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Software Engineer Services — Saudi Arabia Riyadh</w:t>
      </w:r>
    </w:p>
    <w:p>
      <w:pPr>
        <w:pStyle w:val="BodyText"/>
      </w:pPr>
      <w:r>
        <w:t xml:space="preserve">QTE-2025-RIY-0047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For</w:t>
            </w:r>
          </w:p>
        </w:tc>
        <w:tc>
          <w:tcPr/>
          <w:p>
            <w:pPr>
              <w:pStyle w:val="Compact"/>
              <w:jc w:val="left"/>
            </w:pPr>
            <w:r>
              <w:t xml:space="preserve">Client Organization (Riyadh, Saudi Arabia)</w:t>
            </w:r>
          </w:p>
        </w:tc>
        <w:tc>
          <w:tcPr/>
          <w:p>
            <w:pPr>
              <w:pStyle w:val="Compact"/>
              <w:jc w:val="left"/>
            </w:pPr>
            <w:r>
              <w:t xml:space="preserve">Prepared By</w:t>
            </w:r>
          </w:p>
        </w:tc>
        <w:tc>
          <w:tcPr/>
          <w:p>
            <w:pPr>
              <w:pStyle w:val="Compact"/>
              <w:jc w:val="left"/>
            </w:pPr>
            <w:r>
              <w:t xml:space="preserve">TechTalent Solutions LLC</w:t>
            </w:r>
          </w:p>
        </w:tc>
      </w:tr>
      <w:tr>
        <w:tc>
          <w:tcPr/>
          <w:p>
            <w:pPr>
              <w:pStyle w:val="Compact"/>
              <w:jc w:val="left"/>
            </w:pPr>
            <w:r>
              <w:t xml:space="preserve">Project Location</w:t>
            </w:r>
          </w:p>
        </w:tc>
        <w:tc>
          <w:tcPr/>
          <w:p>
            <w:pPr>
              <w:pStyle w:val="Compact"/>
              <w:jc w:val="left"/>
            </w:pPr>
            <w:r>
              <w:t xml:space="preserve">Riyadh, Saudi Arabia</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Contact Person</w:t>
            </w:r>
          </w:p>
        </w:tc>
        <w:tc>
          <w:tcPr/>
          <w:p>
            <w:pPr>
              <w:pStyle w:val="Compact"/>
              <w:jc w:val="left"/>
            </w:pPr>
            <w:r>
              <w:t xml:space="preserve">Eng. Khalid Al-Rashid</w:t>
            </w:r>
          </w:p>
        </w:tc>
        <w:tc>
          <w:tcPr/>
          <w:p>
            <w:pPr>
              <w:pStyle w:val="Compact"/>
              <w:jc w:val="left"/>
            </w:pPr>
            <w:r>
              <w:t xml:space="preserve">Email</w:t>
            </w:r>
          </w:p>
        </w:tc>
        <w:tc>
          <w:tcPr/>
          <w:p>
            <w:pPr>
              <w:pStyle w:val="Compact"/>
              <w:jc w:val="left"/>
            </w:pPr>
            <w:r>
              <w:t xml:space="preserve">estimates@techtalent-sa.com</w:t>
            </w:r>
          </w:p>
        </w:tc>
      </w:tr>
    </w:tbl>
    <w:bookmarkStart w:id="21" w:name="executive-summary"/>
    <w:p>
      <w:pPr>
        <w:pStyle w:val="Heading2"/>
      </w:pPr>
      <w:r>
        <w:t xml:space="preserve">1. Executive Summary</w:t>
      </w:r>
    </w:p>
    <w:p>
      <w:pPr>
        <w:pStyle w:val="FirstParagraph"/>
      </w:pPr>
      <w:r>
        <w:t xml:space="preserve">This Quotation Estimate is formally issued by TechTalent Solutions LLC to provide the Client with a comprehensive and transparent cost breakdown for the engagement of a qualified</w:t>
      </w:r>
      <w:r>
        <w:t xml:space="preserve"> </w:t>
      </w:r>
      <w:r>
        <w:rPr>
          <w:bCs/>
          <w:b/>
        </w:rPr>
        <w:t xml:space="preserve">Software Engineer</w:t>
      </w:r>
      <w:r>
        <w:t xml:space="preserve"> </w:t>
      </w:r>
      <w:r>
        <w:t xml:space="preserve">to be deployed and operational within</w:t>
      </w:r>
      <w:r>
        <w:t xml:space="preserve"> </w:t>
      </w:r>
      <w:r>
        <w:rPr>
          <w:bCs/>
          <w:b/>
        </w:rPr>
        <w:t xml:space="preserve">Saudi Arabia Riyadh</w:t>
      </w:r>
      <w:r>
        <w:t xml:space="preserve">. This document outlines the full scope of services, compensation structure, applicable statutory obligations under Saudi labor law, and all associated costs required to secure, onboard, and retain a high-caliber Software Engineer for the Client's technology division based in the Riyadh metropolitan area.</w:t>
      </w:r>
    </w:p>
    <w:p>
      <w:pPr>
        <w:pStyle w:val="BodyText"/>
      </w:pPr>
      <w:r>
        <w:t xml:space="preserve">The Software Engineer position described herein is intended to support the Client's ongoing digital transformation initiatives, enterprise application development, cloud infrastructure management, and software maintenance programs. All terms and conditions presented in this Quotation Estimate are structured in full compliance with the Saudi Arabian Labor Law (Royal Decree No. M/51), the Ministry of Human Resources and Social Development (MHRSD) regulations, and the Saudi Arabian General Investment Authority (SAGIA) guidelines governing the employment of both Saudi nationals and expatriate professionals in Riyadh.</w:t>
      </w:r>
    </w:p>
    <w:bookmarkEnd w:id="21"/>
    <w:bookmarkStart w:id="22" w:name="scope-of-services"/>
    <w:p>
      <w:pPr>
        <w:pStyle w:val="Heading2"/>
      </w:pPr>
      <w:r>
        <w:t xml:space="preserve">2. Scope of Services</w:t>
      </w:r>
    </w:p>
    <w:p>
      <w:pPr>
        <w:pStyle w:val="FirstParagraph"/>
      </w:pPr>
      <w:r>
        <w:t xml:space="preserve">The Software Engineer engagement under this Quotation Estimate encompasses the following deliverables and responsibilities:</w:t>
      </w:r>
    </w:p>
    <w:p>
      <w:pPr>
        <w:numPr>
          <w:ilvl w:val="0"/>
          <w:numId w:val="1001"/>
        </w:numPr>
        <w:pStyle w:val="Compact"/>
      </w:pPr>
      <w:r>
        <w:rPr>
          <w:bCs/>
          <w:b/>
        </w:rPr>
        <w:t xml:space="preserve">Software Development &amp; Architecture:</w:t>
      </w:r>
      <w:r>
        <w:t xml:space="preserve"> </w:t>
      </w:r>
      <w:r>
        <w:t xml:space="preserve">Design, development, testing, and deployment of enterprise-grade software applications using modern technology stacks including but not limited to Java, .NET, Python, and cloud-native frameworks.</w:t>
      </w:r>
    </w:p>
    <w:p>
      <w:pPr>
        <w:numPr>
          <w:ilvl w:val="0"/>
          <w:numId w:val="1001"/>
        </w:numPr>
        <w:pStyle w:val="Compact"/>
      </w:pPr>
      <w:r>
        <w:rPr>
          <w:bCs/>
          <w:b/>
        </w:rPr>
        <w:t xml:space="preserve">System Integration:</w:t>
      </w:r>
      <w:r>
        <w:t xml:space="preserve"> </w:t>
      </w:r>
      <w:r>
        <w:t xml:space="preserve">Integration of legacy systems with new digital platforms, API development, and middleware configuration to ensure seamless data flow across the Client's Riyadh-based operations.</w:t>
      </w:r>
    </w:p>
    <w:p>
      <w:pPr>
        <w:numPr>
          <w:ilvl w:val="0"/>
          <w:numId w:val="1001"/>
        </w:numPr>
        <w:pStyle w:val="Compact"/>
      </w:pPr>
      <w:r>
        <w:rPr>
          <w:bCs/>
          <w:b/>
        </w:rPr>
        <w:t xml:space="preserve">Cloud Infrastructure Management:</w:t>
      </w:r>
      <w:r>
        <w:t xml:space="preserve"> </w:t>
      </w:r>
      <w:r>
        <w:t xml:space="preserve">Provisioning, monitoring, and optimization of cloud environments on AWS, Microsoft Azure, or Oracle Cloud Infrastructure (OCI) with data centers accessible from Saudi Arabia Riyadh.</w:t>
      </w:r>
    </w:p>
    <w:p>
      <w:pPr>
        <w:numPr>
          <w:ilvl w:val="0"/>
          <w:numId w:val="1001"/>
        </w:numPr>
        <w:pStyle w:val="Compact"/>
      </w:pPr>
      <w:r>
        <w:rPr>
          <w:bCs/>
          <w:b/>
        </w:rPr>
        <w:t xml:space="preserve">Quality Assurance &amp; Code Review:</w:t>
      </w:r>
      <w:r>
        <w:t xml:space="preserve"> </w:t>
      </w:r>
      <w:r>
        <w:t xml:space="preserve">Implementation of continuous integration/continuous deployment (CI/CD) pipelines, automated testing frameworks, and peer code review processes.</w:t>
      </w:r>
    </w:p>
    <w:p>
      <w:pPr>
        <w:numPr>
          <w:ilvl w:val="0"/>
          <w:numId w:val="1001"/>
        </w:numPr>
        <w:pStyle w:val="Compact"/>
      </w:pPr>
      <w:r>
        <w:rPr>
          <w:bCs/>
          <w:b/>
        </w:rPr>
        <w:t xml:space="preserve">Technical Documentation:</w:t>
      </w:r>
      <w:r>
        <w:t xml:space="preserve"> </w:t>
      </w:r>
      <w:r>
        <w:t xml:space="preserve">Production of comprehensive technical documentation, system architecture diagrams, and user manuals in both English and Arabic as required by Saudi regulatory standards.</w:t>
      </w:r>
    </w:p>
    <w:p>
      <w:pPr>
        <w:numPr>
          <w:ilvl w:val="0"/>
          <w:numId w:val="1001"/>
        </w:numPr>
        <w:pStyle w:val="Compact"/>
      </w:pPr>
      <w:r>
        <w:rPr>
          <w:bCs/>
          <w:b/>
        </w:rPr>
        <w:t xml:space="preserve">Maintenance &amp; Support:</w:t>
      </w:r>
      <w:r>
        <w:t xml:space="preserve"> </w:t>
      </w:r>
      <w:r>
        <w:t xml:space="preserve">Ongoing bug resolution, performance tuning, security patching, and technical support for all software assets under the Software Engineer's purview.</w:t>
      </w:r>
    </w:p>
    <w:bookmarkEnd w:id="22"/>
    <w:bookmarkStart w:id="23" w:name="candidate-profile-qualifications"/>
    <w:p>
      <w:pPr>
        <w:pStyle w:val="Heading2"/>
      </w:pPr>
      <w:r>
        <w:t xml:space="preserve">3. Candidate Profile &amp; Qualifications</w:t>
      </w:r>
    </w:p>
    <w:p>
      <w:pPr>
        <w:pStyle w:val="FirstParagraph"/>
      </w:pPr>
      <w:r>
        <w:t xml:space="preserve">The Software Engineer proposed under this Quotation Estimate shall meet the following minimum qualifications:</w:t>
      </w:r>
    </w:p>
    <w:p>
      <w:pPr>
        <w:numPr>
          <w:ilvl w:val="0"/>
          <w:numId w:val="1002"/>
        </w:numPr>
        <w:pStyle w:val="Compact"/>
      </w:pPr>
      <w:r>
        <w:t xml:space="preserve">Bachelor's degree in Computer Science, Software Engineering, Information Technology, or a directly related field from an accredited institution.</w:t>
      </w:r>
    </w:p>
    <w:p>
      <w:pPr>
        <w:numPr>
          <w:ilvl w:val="0"/>
          <w:numId w:val="1002"/>
        </w:numPr>
        <w:pStyle w:val="Compact"/>
      </w:pPr>
      <w:r>
        <w:t xml:space="preserve">Minimum of 5 years of progressive experience in software development, with at least 2 years in enterprise or large-scale application environments.</w:t>
      </w:r>
    </w:p>
    <w:p>
      <w:pPr>
        <w:numPr>
          <w:ilvl w:val="0"/>
          <w:numId w:val="1002"/>
        </w:numPr>
        <w:pStyle w:val="Compact"/>
      </w:pPr>
      <w:r>
        <w:t xml:space="preserve">Proficiency in at least two primary programming languages and demonstrated expertise in database management systems (SQL Server, Oracle, MongoDB).</w:t>
      </w:r>
    </w:p>
    <w:p>
      <w:pPr>
        <w:numPr>
          <w:ilvl w:val="0"/>
          <w:numId w:val="1002"/>
        </w:numPr>
        <w:pStyle w:val="Compact"/>
      </w:pPr>
      <w:r>
        <w:t xml:space="preserve">Valid Iqama (residence permit) or eligibility for work visa sponsorship in Saudi Arabia, with full compliance to the Nitaqat (Saudization) ratio requirements applicable to Riyadh-based employers.</w:t>
      </w:r>
    </w:p>
    <w:p>
      <w:pPr>
        <w:numPr>
          <w:ilvl w:val="0"/>
          <w:numId w:val="1002"/>
        </w:numPr>
        <w:pStyle w:val="Compact"/>
      </w:pPr>
      <w:r>
        <w:t xml:space="preserve">Fluency in English; working proficiency in Arabic is strongly preferred for client-facing documentation and stakeholder communication within Saudi Arabia Riyadh.</w:t>
      </w:r>
    </w:p>
    <w:bookmarkEnd w:id="23"/>
    <w:bookmarkStart w:id="24" w:name="financial-breakdown-pricing"/>
    <w:p>
      <w:pPr>
        <w:pStyle w:val="Heading2"/>
      </w:pPr>
      <w:r>
        <w:t xml:space="preserve">4. Financial Breakdown &amp; Pricing</w:t>
      </w:r>
    </w:p>
    <w:p>
      <w:pPr>
        <w:pStyle w:val="FirstParagraph"/>
      </w:pPr>
      <w:r>
        <w:t xml:space="preserve">The following table presents the itemized cost structure for the Software Engineer engagement. All amounts are quoted in Saudi Riyal (SAR) and are inclusive of applicable Value Added Tax (VAT) at the prevailing rate of 15% as mandated by the Zakat, Tax and Customs Authority (ZATCA) in Saudi Arabia.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Software Engineer Monthly Base Salary (Gross)</w:t>
            </w:r>
          </w:p>
        </w:tc>
        <w:tc>
          <w:tcPr/>
          <w:p>
            <w:pPr>
              <w:pStyle w:val="Compact"/>
              <w:jc w:val="left"/>
            </w:pPr>
            <w:r>
              <w:t xml:space="preserve">Per Month</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Annual Leave Allowance (30 days pro-rated)</w:t>
            </w:r>
          </w:p>
        </w:tc>
        <w:tc>
          <w:tcPr/>
          <w:p>
            <w:pPr>
              <w:pStyle w:val="Compact"/>
              <w:jc w:val="left"/>
            </w:pPr>
            <w:r>
              <w:t xml:space="preserve">Per Year</w:t>
            </w:r>
          </w:p>
        </w:tc>
        <w:tc>
          <w:tcPr/>
          <w:p>
            <w:pPr>
              <w:pStyle w:val="Compact"/>
              <w:jc w:val="left"/>
            </w:pPr>
            <w:r>
              <w:t xml:space="preserve">7,000.00</w:t>
            </w:r>
          </w:p>
        </w:tc>
      </w:tr>
      <w:tr>
        <w:tc>
          <w:tcPr/>
          <w:p>
            <w:pPr>
              <w:pStyle w:val="Compact"/>
              <w:jc w:val="left"/>
            </w:pPr>
            <w:r>
              <w:t xml:space="preserve">03</w:t>
            </w:r>
          </w:p>
        </w:tc>
        <w:tc>
          <w:tcPr/>
          <w:p>
            <w:pPr>
              <w:pStyle w:val="Compact"/>
              <w:jc w:val="left"/>
            </w:pPr>
            <w:r>
              <w:t xml:space="preserve">Medical Insurance Premium (GOLD Tier, MHRSD Compliant)</w:t>
            </w:r>
          </w:p>
        </w:tc>
        <w:tc>
          <w:tcPr/>
          <w:p>
            <w:pPr>
              <w:pStyle w:val="Compact"/>
              <w:jc w:val="left"/>
            </w:pPr>
            <w:r>
              <w:t xml:space="preserve">Per Year</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Work Visa &amp; Iqama Processing (Initial or Renewal)</w:t>
            </w:r>
          </w:p>
        </w:tc>
        <w:tc>
          <w:tcPr/>
          <w:p>
            <w:pPr>
              <w:pStyle w:val="Compact"/>
              <w:jc w:val="left"/>
            </w:pPr>
            <w:r>
              <w:t xml:space="preserve">One-Time</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Recruitment &amp; Sourcing Fee (TechTalent Solutions LLC)</w:t>
            </w:r>
          </w:p>
        </w:tc>
        <w:tc>
          <w:tcPr/>
          <w:p>
            <w:pPr>
              <w:pStyle w:val="Compact"/>
              <w:jc w:val="left"/>
            </w:pPr>
            <w:r>
              <w:t xml:space="preserve">One-Time</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Onboarding, Training &amp; Orientation Program (Riyadh Office)</w:t>
            </w:r>
          </w:p>
        </w:tc>
        <w:tc>
          <w:tcPr/>
          <w:p>
            <w:pPr>
              <w:pStyle w:val="Compact"/>
              <w:jc w:val="left"/>
            </w:pPr>
            <w:r>
              <w:t xml:space="preserve">One-Time</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Annual Airfare (Home Country to Saudi Arabia Riyadh)</w:t>
            </w:r>
          </w:p>
        </w:tc>
        <w:tc>
          <w:tcPr/>
          <w:p>
            <w:pPr>
              <w:pStyle w:val="Compact"/>
              <w:jc w:val="left"/>
            </w:pPr>
            <w:r>
              <w:t xml:space="preserve">Per Year</w:t>
            </w:r>
          </w:p>
        </w:tc>
        <w:tc>
          <w:tcPr/>
          <w:p>
            <w:pPr>
              <w:pStyle w:val="Compact"/>
              <w:jc w:val="left"/>
            </w:pPr>
            <w:r>
              <w:t xml:space="preserve">9,800.00</w:t>
            </w:r>
          </w:p>
        </w:tc>
      </w:tr>
      <w:tr>
        <w:tc>
          <w:tcPr/>
          <w:p>
            <w:pPr>
              <w:pStyle w:val="Compact"/>
              <w:jc w:val="left"/>
            </w:pPr>
            <w:r>
              <w:t xml:space="preserve">08</w:t>
            </w:r>
          </w:p>
        </w:tc>
        <w:tc>
          <w:tcPr/>
          <w:p>
            <w:pPr>
              <w:pStyle w:val="Compact"/>
              <w:jc w:val="left"/>
            </w:pPr>
            <w:r>
              <w:t xml:space="preserve">Accommodation Allowance (Riyadh, 2-Bedroom Apartment)</w:t>
            </w:r>
          </w:p>
        </w:tc>
        <w:tc>
          <w:tcPr/>
          <w:p>
            <w:pPr>
              <w:pStyle w:val="Compact"/>
              <w:jc w:val="left"/>
            </w:pPr>
            <w:r>
              <w:t xml:space="preserve">Per Month</w:t>
            </w:r>
          </w:p>
        </w:tc>
        <w:tc>
          <w:tcPr/>
          <w:p>
            <w:pPr>
              <w:pStyle w:val="Compact"/>
              <w:jc w:val="left"/>
            </w:pPr>
            <w:r>
              <w:t xml:space="preserve">7,500.00</w:t>
            </w:r>
          </w:p>
        </w:tc>
      </w:tr>
      <w:tr>
        <w:tc>
          <w:tcPr/>
          <w:p>
            <w:pPr>
              <w:pStyle w:val="Compact"/>
              <w:jc w:val="left"/>
            </w:pPr>
            <w:r>
              <w:t xml:space="preserve">09</w:t>
            </w:r>
          </w:p>
        </w:tc>
        <w:tc>
          <w:tcPr/>
          <w:p>
            <w:pPr>
              <w:pStyle w:val="Compact"/>
              <w:jc w:val="left"/>
            </w:pPr>
            <w:r>
              <w:t xml:space="preserve">Transportation Allowance (Company Vehicle or Stipend)</w:t>
            </w:r>
          </w:p>
        </w:tc>
        <w:tc>
          <w:tcPr/>
          <w:p>
            <w:pPr>
              <w:pStyle w:val="Compact"/>
              <w:jc w:val="left"/>
            </w:pPr>
            <w:r>
              <w:t xml:space="preserve">Per Month</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Performance Bonus (Annual, Target-Based)</w:t>
            </w:r>
          </w:p>
        </w:tc>
        <w:tc>
          <w:tcPr/>
          <w:p>
            <w:pPr>
              <w:pStyle w:val="Compact"/>
              <w:jc w:val="left"/>
            </w:pPr>
            <w:r>
              <w:t xml:space="preserve">Per Year</w:t>
            </w:r>
          </w:p>
        </w:tc>
        <w:tc>
          <w:tcPr/>
          <w:p>
            <w:pPr>
              <w:pStyle w:val="Compact"/>
              <w:jc w:val="left"/>
            </w:pPr>
            <w:r>
              <w:t xml:space="preserve">14,000.00</w:t>
            </w:r>
          </w:p>
        </w:tc>
      </w:tr>
      <w:tr>
        <w:tc>
          <w:tcPr/>
          <w:p>
            <w:pPr>
              <w:pStyle w:val="Compact"/>
              <w:jc w:val="left"/>
            </w:pPr>
            <w:r>
              <w:t xml:space="preserve">11</w:t>
            </w:r>
          </w:p>
        </w:tc>
        <w:tc>
          <w:tcPr/>
          <w:p>
            <w:pPr>
              <w:pStyle w:val="Compact"/>
              <w:jc w:val="left"/>
            </w:pPr>
            <w:r>
              <w:t xml:space="preserve">End-of-Service Gratuity Provision (Statutory, Pro-rated)</w:t>
            </w:r>
          </w:p>
        </w:tc>
        <w:tc>
          <w:tcPr/>
          <w:p>
            <w:pPr>
              <w:pStyle w:val="Compact"/>
              <w:jc w:val="left"/>
            </w:pPr>
            <w:r>
              <w:t xml:space="preserve">Per Year</w:t>
            </w:r>
          </w:p>
        </w:tc>
        <w:tc>
          <w:tcPr/>
          <w:p>
            <w:pPr>
              <w:pStyle w:val="Compact"/>
              <w:jc w:val="left"/>
            </w:pPr>
            <w:r>
              <w:t xml:space="preserve">14,000.00</w:t>
            </w:r>
          </w:p>
        </w:tc>
      </w:tr>
      <w:tr>
        <w:tc>
          <w:tcPr/>
          <w:p>
            <w:pPr>
              <w:pStyle w:val="Compact"/>
              <w:jc w:val="left"/>
            </w:pPr>
            <w:r>
              <w:t xml:space="preserve">12</w:t>
            </w:r>
          </w:p>
        </w:tc>
        <w:tc>
          <w:tcPr/>
          <w:p>
            <w:pPr>
              <w:pStyle w:val="Compact"/>
              <w:jc w:val="left"/>
            </w:pPr>
            <w:r>
              <w:t xml:space="preserve">Administrative &amp; Compliance Management Fee</w:t>
            </w:r>
          </w:p>
        </w:tc>
        <w:tc>
          <w:tcPr/>
          <w:p>
            <w:pPr>
              <w:pStyle w:val="Compact"/>
              <w:jc w:val="left"/>
            </w:pPr>
            <w:r>
              <w:t xml:space="preserve">Per Year</w:t>
            </w:r>
          </w:p>
        </w:tc>
        <w:tc>
          <w:tcPr/>
          <w:p>
            <w:pPr>
              <w:pStyle w:val="Compact"/>
              <w:jc w:val="left"/>
            </w:pPr>
            <w:r>
              <w:t xml:space="preserve">8,000.00</w:t>
            </w:r>
          </w:p>
        </w:tc>
      </w:tr>
      <w:tr>
        <w:tc>
          <w:tcPr>
            <w:gridSpan w:val="3"/>
          </w:tcPr>
          <w:p>
            <w:pPr>
              <w:pStyle w:val="Compact"/>
              <w:jc w:val="left"/>
            </w:pPr>
            <w:r>
              <w:t xml:space="preserve">Subtotal (Annual Total)</w:t>
            </w:r>
          </w:p>
        </w:tc>
        <w:tc>
          <w:tcPr/>
          <w:p>
            <w:pPr>
              <w:pStyle w:val="Compact"/>
              <w:jc w:val="left"/>
            </w:pPr>
            <w:r>
              <w:t xml:space="preserve">134,500.00</w:t>
            </w:r>
          </w:p>
        </w:tc>
      </w:tr>
      <w:tr>
        <w:tc>
          <w:tcPr>
            <w:gridSpan w:val="3"/>
          </w:tcPr>
          <w:p>
            <w:pPr>
              <w:pStyle w:val="Compact"/>
              <w:jc w:val="left"/>
            </w:pPr>
            <w:r>
              <w:t xml:space="preserve">VAT @ 15% (ZATCA Compliant)</w:t>
            </w:r>
          </w:p>
        </w:tc>
        <w:tc>
          <w:tcPr/>
          <w:p>
            <w:pPr>
              <w:pStyle w:val="Compact"/>
              <w:jc w:val="left"/>
            </w:pPr>
            <w:r>
              <w:t xml:space="preserve">20,175.00</w:t>
            </w:r>
          </w:p>
        </w:tc>
      </w:tr>
      <w:tr>
        <w:tc>
          <w:tcPr>
            <w:gridSpan w:val="3"/>
          </w:tcPr>
          <w:p>
            <w:pPr>
              <w:pStyle w:val="Compact"/>
              <w:jc w:val="left"/>
            </w:pPr>
            <w:r>
              <w:rPr>
                <w:bCs/>
                <w:b/>
              </w:rPr>
              <w:t xml:space="preserve">GRAND TOTAL (Annual, VAT Inclusive)</w:t>
            </w:r>
          </w:p>
        </w:tc>
        <w:tc>
          <w:tcPr/>
          <w:p>
            <w:pPr>
              <w:pStyle w:val="Compact"/>
              <w:jc w:val="left"/>
            </w:pPr>
            <w:r>
              <w:rPr>
                <w:bCs/>
                <w:b/>
              </w:rPr>
              <w:t xml:space="preserve">154,675.00 SAR</w:t>
            </w:r>
          </w:p>
        </w:tc>
      </w:tr>
    </w:tbl>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all pricing is subject to revision based on prevailing market conditions in Saudi Arabia Riyadh.</w:t>
      </w:r>
    </w:p>
    <w:p>
      <w:pPr>
        <w:numPr>
          <w:ilvl w:val="0"/>
          <w:numId w:val="1003"/>
        </w:numPr>
        <w:pStyle w:val="Compact"/>
      </w:pPr>
      <w:r>
        <w:t xml:space="preserve">Payment terms: 50% upon acceptance of this Quotation Estimate and execution of the Service Agreement; 50% upon successful onboarding and commencement of duties by the Software Engineer.</w:t>
      </w:r>
    </w:p>
    <w:p>
      <w:pPr>
        <w:numPr>
          <w:ilvl w:val="0"/>
          <w:numId w:val="1003"/>
        </w:numPr>
        <w:pStyle w:val="Compact"/>
      </w:pPr>
      <w:r>
        <w:t xml:space="preserve">The Client is responsible for providing a suitable workspace, IT hardware (laptop, monitor, peripherals), and software licenses at their Riyadh office premises.</w:t>
      </w:r>
    </w:p>
    <w:p>
      <w:pPr>
        <w:numPr>
          <w:ilvl w:val="0"/>
          <w:numId w:val="1003"/>
        </w:numPr>
        <w:pStyle w:val="Compact"/>
      </w:pPr>
      <w:r>
        <w:t xml:space="preserve">All employment terms shall be governed by the Saudi Labor Law. The Software Engineer shall be entitled to a minimum of 30 calendar days of paid annual leave, public holidays as declared by the Saudi government, and sick leave in accordance with statutory provisions.</w:t>
      </w:r>
    </w:p>
    <w:p>
      <w:pPr>
        <w:numPr>
          <w:ilvl w:val="0"/>
          <w:numId w:val="1003"/>
        </w:numPr>
        <w:pStyle w:val="Compact"/>
      </w:pPr>
      <w:r>
        <w:t xml:space="preserve">Termination by either party requires a written notice period of ninety (90) days, or payment in lieu of notice, as stipulated in the individual employment contract.</w:t>
      </w:r>
    </w:p>
    <w:p>
      <w:pPr>
        <w:numPr>
          <w:ilvl w:val="0"/>
          <w:numId w:val="1003"/>
        </w:numPr>
        <w:pStyle w:val="Compact"/>
      </w:pPr>
      <w:r>
        <w:t xml:space="preserve">Any disputes arising from this Quotation Estimate or the subsequent engagement shall be resolved through the competent labor courts in Riyadh, Saudi Arabia, in accordance with applicable Saudi law.</w:t>
      </w:r>
    </w:p>
    <w:p>
      <w:pPr>
        <w:numPr>
          <w:ilvl w:val="0"/>
          <w:numId w:val="1003"/>
        </w:numPr>
        <w:pStyle w:val="Compact"/>
      </w:pPr>
      <w:r>
        <w:t xml:space="preserve">This Quotation Estimate does not constitute a binding employment contract. A formal employment contract, compliant with MHRSD templates, shall be executed separately upon mutual agreement.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Software Engineer position in Saudi Arabia Riyadh and agrees to the terms, conditions, and financial obligations outlined herein. This acceptance authorizes TechTalent Solutions LLC to proceed with the recruitment, visa processing, and onboarding activities as described.</w:t>
      </w:r>
    </w:p>
    <w:p>
      <w:pPr>
        <w:pStyle w:val="BodyText"/>
      </w:pPr>
      <w:r>
        <w:rPr>
          <w:bCs/>
          <w:b/>
        </w:rPr>
        <w:t xml:space="preserve">For: TechTalent Solutions LLC</w:t>
      </w:r>
    </w:p>
    <w:p>
      <w:pPr>
        <w:pStyle w:val="BodyText"/>
      </w:pPr>
      <w:r>
        <w:t xml:space="preserve">Name: Eng. Khalid Al-Rashid</w:t>
      </w:r>
      <w:r>
        <w:br/>
      </w:r>
      <w:r>
        <w:t xml:space="preserve">Title: Director of Operations</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is prepared exclusively for the Client named above and for the specific Software Engineer engagement in Saudi Arabia Riyadh. It may not be reproduced, distributed, or used for any other purpose without the prior written consent of TechTalent Solutions LLC. All figures are estimates and are subject to final confirmation upon execution of the definitive Service Agreement. This document is issued in accordance with the commercial and labor regulations of the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Saudi Arabia Riyadh</dc:title>
  <dc:creator/>
  <dc:language>en</dc:language>
  <cp:keywords/>
  <dcterms:created xsi:type="dcterms:W3CDTF">2026-10-10T02:18:57Z</dcterms:created>
  <dcterms:modified xsi:type="dcterms:W3CDTF">2026-10-10T02:18:57Z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