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Services for Software Engineer Engagement</w:t>
      </w:r>
    </w:p>
    <w:p>
      <w:pPr>
        <w:pStyle w:val="BodyText"/>
      </w:pPr>
      <w:r>
        <w:t xml:space="preserve">Location: Spain Valencia | Reference No: QTE-2025-VAL-0047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TechNova Solutions S.L., C/ Colón 42, 46004 Valencia, Spain</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Service Category:</w:t>
            </w:r>
          </w:p>
        </w:tc>
        <w:tc>
          <w:tcPr/>
          <w:p>
            <w:pPr>
              <w:pStyle w:val="Compact"/>
              <w:jc w:val="left"/>
            </w:pPr>
            <w:r>
              <w:t xml:space="preserve">Software Engineer – Full-Stack Development &amp; System Architecture</w:t>
            </w:r>
          </w:p>
        </w:tc>
      </w:tr>
      <w:tr>
        <w:tc>
          <w:tcPr/>
          <w:p>
            <w:pPr>
              <w:pStyle w:val="Compact"/>
              <w:jc w:val="left"/>
            </w:pPr>
            <w:r>
              <w:t xml:space="preserve">Work Location:</w:t>
            </w:r>
          </w:p>
        </w:tc>
        <w:tc>
          <w:tcPr/>
          <w:p>
            <w:pPr>
              <w:pStyle w:val="Compact"/>
              <w:jc w:val="left"/>
            </w:pPr>
            <w:r>
              <w:t xml:space="preserve">Spain Valencia (Hybrid: 3 days on-site, 2 days remote)</w:t>
            </w:r>
          </w:p>
        </w:tc>
      </w:tr>
      <w:tr>
        <w:tc>
          <w:tcPr/>
          <w:p>
            <w:pPr>
              <w:pStyle w:val="Compact"/>
              <w:jc w:val="left"/>
            </w:pPr>
            <w:r>
              <w:t xml:space="preserve">Currency:</w:t>
            </w:r>
          </w:p>
        </w:tc>
        <w:tc>
          <w:tcPr/>
          <w:p>
            <w:pPr>
              <w:pStyle w:val="Compact"/>
              <w:jc w:val="left"/>
            </w:pPr>
            <w:r>
              <w:t xml:space="preserve">Euro (EUR) – VAT 21% applicable</w:t>
            </w:r>
          </w:p>
        </w:tc>
      </w:tr>
    </w:tbl>
    <w:bookmarkStart w:id="21" w:name="purpose-of-this-quotation-estimate"/>
    <w:p>
      <w:pPr>
        <w:pStyle w:val="Heading2"/>
      </w:pPr>
      <w:r>
        <w:t xml:space="preserve">1. Purpose of This Quotation Estimate</w:t>
      </w:r>
    </w:p>
    <w:p>
      <w:pPr>
        <w:pStyle w:val="FirstParagraph"/>
      </w:pPr>
      <w:r>
        <w:t xml:space="preserve">This Quotation Estimate document has been prepared by TechNova Solutions S.L. to formally outline the scope, deliverables, timeline, and associated costs for the engagement of a qualified Software Engineer based in Spain Valencia. The purpose of this Quotation Estimate is to provide the prospective client with a transparent, itemised breakdown of all professional services to be rendered, ensuring full alignment between both parties before any contractual commitment is made. All figures presented herein are exclusive of applicable Spanish Value Added Tax (VAT) unless otherwise stated, and are subject to the terms and conditions detailed in Section 8 of this Quotation Estimate.</w:t>
      </w:r>
    </w:p>
    <w:bookmarkEnd w:id="21"/>
    <w:bookmarkStart w:id="22" w:name="scope-of-work-software-engineer-services"/>
    <w:p>
      <w:pPr>
        <w:pStyle w:val="Heading2"/>
      </w:pPr>
      <w:r>
        <w:t xml:space="preserve">2. Scope of Work – Software Engineer Services</w:t>
      </w:r>
    </w:p>
    <w:p>
      <w:pPr>
        <w:pStyle w:val="FirstParagraph"/>
      </w:pPr>
      <w:r>
        <w:t xml:space="preserve">The Software Engineer engaged under this Quotation Estimate will be responsible for the following core activities within the Spain Valencia operational environment:</w:t>
      </w:r>
    </w:p>
    <w:p>
      <w:pPr>
        <w:numPr>
          <w:ilvl w:val="0"/>
          <w:numId w:val="1001"/>
        </w:numPr>
        <w:pStyle w:val="Compact"/>
      </w:pPr>
      <w:r>
        <w:rPr>
          <w:bCs/>
          <w:b/>
        </w:rPr>
        <w:t xml:space="preserve">System Design &amp; Architecture:</w:t>
      </w:r>
      <w:r>
        <w:t xml:space="preserve"> </w:t>
      </w:r>
      <w:r>
        <w:t xml:space="preserve">Designing scalable, high-performance software architectures tailored to the client's business requirements, leveraging modern cloud infrastructure (AWS, Azure, or GCP) with deployment centres in the European region.</w:t>
      </w:r>
    </w:p>
    <w:p>
      <w:pPr>
        <w:numPr>
          <w:ilvl w:val="0"/>
          <w:numId w:val="1001"/>
        </w:numPr>
        <w:pStyle w:val="Compact"/>
      </w:pPr>
      <w:r>
        <w:rPr>
          <w:bCs/>
          <w:b/>
        </w:rPr>
        <w:t xml:space="preserve">Full-Stack Development:</w:t>
      </w:r>
      <w:r>
        <w:t xml:space="preserve"> </w:t>
      </w:r>
      <w:r>
        <w:t xml:space="preserve">Writing, testing, and maintaining production-grade code across front-end (React, Angular, or Vue.js) and back-end (Java, Python, Node.js, or C#) layers, adhering to industry best practices and the client's established coding standards.</w:t>
      </w:r>
    </w:p>
    <w:p>
      <w:pPr>
        <w:numPr>
          <w:ilvl w:val="0"/>
          <w:numId w:val="1001"/>
        </w:numPr>
        <w:pStyle w:val="Compact"/>
      </w:pPr>
      <w:r>
        <w:rPr>
          <w:bCs/>
          <w:b/>
        </w:rPr>
        <w:t xml:space="preserve">Database Engineering:</w:t>
      </w:r>
      <w:r>
        <w:t xml:space="preserve"> </w:t>
      </w:r>
      <w:r>
        <w:t xml:space="preserve">Modelling, optimising, and managing relational (PostgreSQL, MySQL) and NoSQL (MongoDB, Cassandra) databases to ensure data integrity, performance, and compliance with GDPR regulations as enforced in Spain Valencia and across the European Union.</w:t>
      </w:r>
    </w:p>
    <w:p>
      <w:pPr>
        <w:numPr>
          <w:ilvl w:val="0"/>
          <w:numId w:val="1001"/>
        </w:numPr>
        <w:pStyle w:val="Compact"/>
      </w:pPr>
      <w:r>
        <w:rPr>
          <w:bCs/>
          <w:b/>
        </w:rPr>
        <w:t xml:space="preserve">API Development &amp; Integration:</w:t>
      </w:r>
      <w:r>
        <w:t xml:space="preserve"> </w:t>
      </w:r>
      <w:r>
        <w:t xml:space="preserve">Building and consuming RESTful and GraphQL APIs, integrating third-party services, and ensuring seamless interoperability between existing legacy systems and new modules.</w:t>
      </w:r>
    </w:p>
    <w:p>
      <w:pPr>
        <w:numPr>
          <w:ilvl w:val="0"/>
          <w:numId w:val="1001"/>
        </w:numPr>
        <w:pStyle w:val="Compact"/>
      </w:pPr>
      <w:r>
        <w:rPr>
          <w:bCs/>
          <w:b/>
        </w:rPr>
        <w:t xml:space="preserve">Quality Assurance &amp; Testing:</w:t>
      </w:r>
      <w:r>
        <w:t xml:space="preserve"> </w:t>
      </w:r>
      <w:r>
        <w:t xml:space="preserve">Implementing automated unit, integration, and end-to-end test suites; conducting code reviews; and maintaining continuous integration/continuous deployment (CI/CD) pipelines.</w:t>
      </w:r>
    </w:p>
    <w:p>
      <w:pPr>
        <w:numPr>
          <w:ilvl w:val="0"/>
          <w:numId w:val="1001"/>
        </w:numPr>
        <w:pStyle w:val="Compact"/>
      </w:pPr>
      <w:r>
        <w:rPr>
          <w:bCs/>
          <w:b/>
        </w:rPr>
        <w:t xml:space="preserve">Technical Documentation:</w:t>
      </w:r>
      <w:r>
        <w:t xml:space="preserve"> </w:t>
      </w:r>
      <w:r>
        <w:t xml:space="preserve">Producing comprehensive technical documentation, including architecture diagrams, API specifications, deployment guides, and user-facing technical manuals.</w:t>
      </w:r>
    </w:p>
    <w:p>
      <w:pPr>
        <w:numPr>
          <w:ilvl w:val="0"/>
          <w:numId w:val="1001"/>
        </w:numPr>
        <w:pStyle w:val="Compact"/>
      </w:pPr>
      <w:r>
        <w:rPr>
          <w:bCs/>
          <w:b/>
        </w:rPr>
        <w:t xml:space="preserve">Ongoing Support &amp; Maintenance:</w:t>
      </w:r>
      <w:r>
        <w:t xml:space="preserve"> </w:t>
      </w:r>
      <w:r>
        <w:t xml:space="preserve">Providing post-delivery support, bug resolution, performance monitoring, and iterative enhancements for a defined maintenance period.</w:t>
      </w:r>
    </w:p>
    <w:bookmarkEnd w:id="22"/>
    <w:bookmarkStart w:id="23" w:name="project-timeline-milestones"/>
    <w:p>
      <w:pPr>
        <w:pStyle w:val="Heading2"/>
      </w:pPr>
      <w:r>
        <w:t xml:space="preserve">3. Project Timeline &amp; Milestones</w:t>
      </w:r>
    </w:p>
    <w:p>
      <w:pPr>
        <w:pStyle w:val="FirstParagraph"/>
      </w:pPr>
      <w:r>
        <w:t xml:space="preserve">The Software Engineer engagement in Spain Valencia is structured across the following phases. The total estimated duration is 16 weeks from the date of contract execution:</w:t>
      </w:r>
    </w:p>
    <w:p>
      <w:pPr>
        <w:numPr>
          <w:ilvl w:val="0"/>
          <w:numId w:val="1002"/>
        </w:numPr>
        <w:pStyle w:val="Compact"/>
      </w:pPr>
      <w:r>
        <w:rPr>
          <w:bCs/>
          <w:b/>
        </w:rPr>
        <w:t xml:space="preserve">Phase 1 – Discovery &amp; Planning (Weeks 1–2):</w:t>
      </w:r>
      <w:r>
        <w:t xml:space="preserve"> </w:t>
      </w:r>
      <w:r>
        <w:t xml:space="preserve">Requirements gathering, stakeholder interviews in Valencia, and technical feasibility assessment.</w:t>
      </w:r>
    </w:p>
    <w:p>
      <w:pPr>
        <w:numPr>
          <w:ilvl w:val="0"/>
          <w:numId w:val="1002"/>
        </w:numPr>
        <w:pStyle w:val="Compact"/>
      </w:pPr>
      <w:r>
        <w:rPr>
          <w:bCs/>
          <w:b/>
        </w:rPr>
        <w:t xml:space="preserve">Phase 2 – Architecture &amp; Design (Weeks 3–4):</w:t>
      </w:r>
      <w:r>
        <w:t xml:space="preserve"> </w:t>
      </w:r>
      <w:r>
        <w:t xml:space="preserve">System architecture design, technology stack finalisation, and design document approval.</w:t>
      </w:r>
    </w:p>
    <w:p>
      <w:pPr>
        <w:numPr>
          <w:ilvl w:val="0"/>
          <w:numId w:val="1002"/>
        </w:numPr>
        <w:pStyle w:val="Compact"/>
      </w:pPr>
      <w:r>
        <w:rPr>
          <w:bCs/>
          <w:b/>
        </w:rPr>
        <w:t xml:space="preserve">Phase 3 – Core Development (Weeks 5–10):</w:t>
      </w:r>
      <w:r>
        <w:t xml:space="preserve"> </w:t>
      </w:r>
      <w:r>
        <w:t xml:space="preserve">Iterative sprints (two-week cycles) for feature development, code review, and integration testing.</w:t>
      </w:r>
    </w:p>
    <w:p>
      <w:pPr>
        <w:numPr>
          <w:ilvl w:val="0"/>
          <w:numId w:val="1002"/>
        </w:numPr>
        <w:pStyle w:val="Compact"/>
      </w:pPr>
      <w:r>
        <w:rPr>
          <w:bCs/>
          <w:b/>
        </w:rPr>
        <w:t xml:space="preserve">Phase 4 – Testing &amp; QA (Weeks 11–13):</w:t>
      </w:r>
      <w:r>
        <w:t xml:space="preserve"> </w:t>
      </w:r>
      <w:r>
        <w:t xml:space="preserve">Comprehensive testing, user acceptance testing (UAT) coordination, and defect resolution.</w:t>
      </w:r>
    </w:p>
    <w:p>
      <w:pPr>
        <w:numPr>
          <w:ilvl w:val="0"/>
          <w:numId w:val="1002"/>
        </w:numPr>
        <w:pStyle w:val="Compact"/>
      </w:pPr>
      <w:r>
        <w:rPr>
          <w:bCs/>
          <w:b/>
        </w:rPr>
        <w:t xml:space="preserve">Phase 5 – Deployment &amp; Handover (Weeks 14–15):</w:t>
      </w:r>
      <w:r>
        <w:t xml:space="preserve"> </w:t>
      </w:r>
      <w:r>
        <w:t xml:space="preserve">Production deployment, documentation finalisation, and knowledge transfer sessions.</w:t>
      </w:r>
    </w:p>
    <w:p>
      <w:pPr>
        <w:numPr>
          <w:ilvl w:val="0"/>
          <w:numId w:val="1002"/>
        </w:numPr>
        <w:pStyle w:val="Compact"/>
      </w:pPr>
      <w:r>
        <w:rPr>
          <w:bCs/>
          <w:b/>
        </w:rPr>
        <w:t xml:space="preserve">Phase 6 – Post-Deployment Support (Week 16):</w:t>
      </w:r>
      <w:r>
        <w:t xml:space="preserve"> </w:t>
      </w:r>
      <w:r>
        <w:t xml:space="preserve">Hypercare period with on-call availability and minor issue resolution.</w:t>
      </w:r>
    </w:p>
    <w:bookmarkEnd w:id="23"/>
    <w:bookmarkStart w:id="24" w:name="financial-breakdown"/>
    <w:p>
      <w:pPr>
        <w:pStyle w:val="Heading2"/>
      </w:pPr>
      <w:r>
        <w:t xml:space="preserve">4. Financial Breakdown</w:t>
      </w:r>
    </w:p>
    <w:p>
      <w:pPr>
        <w:pStyle w:val="FirstParagraph"/>
      </w:pPr>
      <w:r>
        <w:t xml:space="preserve">The following table presents the itemised cost structure for this Quotation Estimate. Rates reflect the prevailing market for a senior Software Engineer operating in the Spain Valencia technology sector, adjusted for the hybrid working model and the specific skill set required.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Software Engineer – Discovery &amp; Planning</w:t>
            </w:r>
          </w:p>
        </w:tc>
        <w:tc>
          <w:tcPr/>
          <w:p>
            <w:pPr>
              <w:pStyle w:val="Compact"/>
              <w:jc w:val="left"/>
            </w:pPr>
            <w:r>
              <w:t xml:space="preserve">2 weeks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Software Engineer – Architecture &amp; Design</w:t>
            </w:r>
          </w:p>
        </w:tc>
        <w:tc>
          <w:tcPr/>
          <w:p>
            <w:pPr>
              <w:pStyle w:val="Compact"/>
              <w:jc w:val="left"/>
            </w:pPr>
            <w:r>
              <w:t xml:space="preserve">2 weeks</w:t>
            </w:r>
          </w:p>
        </w:tc>
        <w:tc>
          <w:tcPr/>
          <w:p>
            <w:pPr>
              <w:pStyle w:val="Compact"/>
              <w:jc w:val="left"/>
            </w:pPr>
            <w:r>
              <w:t xml:space="preserve">9,000</w:t>
            </w:r>
          </w:p>
        </w:tc>
        <w:tc>
          <w:tcPr/>
          <w:p>
            <w:pPr>
              <w:pStyle w:val="Compact"/>
              <w:jc w:val="left"/>
            </w:pPr>
            <w:r>
              <w:t xml:space="preserve">18,000.00</w:t>
            </w:r>
          </w:p>
        </w:tc>
      </w:tr>
      <w:tr>
        <w:tc>
          <w:tcPr/>
          <w:p>
            <w:pPr>
              <w:pStyle w:val="Compact"/>
              <w:jc w:val="left"/>
            </w:pPr>
            <w:r>
              <w:t xml:space="preserve">Software Engineer – Core Development (Sprints)</w:t>
            </w:r>
          </w:p>
        </w:tc>
        <w:tc>
          <w:tcPr/>
          <w:p>
            <w:pPr>
              <w:pStyle w:val="Compact"/>
              <w:jc w:val="left"/>
            </w:pPr>
            <w:r>
              <w:t xml:space="preserve">6 weeks</w:t>
            </w:r>
          </w:p>
        </w:tc>
        <w:tc>
          <w:tcPr/>
          <w:p>
            <w:pPr>
              <w:pStyle w:val="Compact"/>
              <w:jc w:val="left"/>
            </w:pPr>
            <w:r>
              <w:t xml:space="preserve">10,500</w:t>
            </w:r>
          </w:p>
        </w:tc>
        <w:tc>
          <w:tcPr/>
          <w:p>
            <w:pPr>
              <w:pStyle w:val="Compact"/>
              <w:jc w:val="left"/>
            </w:pPr>
            <w:r>
              <w:t xml:space="preserve">63,000.00</w:t>
            </w:r>
          </w:p>
        </w:tc>
      </w:tr>
      <w:tr>
        <w:tc>
          <w:tcPr/>
          <w:p>
            <w:pPr>
              <w:pStyle w:val="Compact"/>
              <w:jc w:val="left"/>
            </w:pPr>
            <w:r>
              <w:t xml:space="preserve">Software Engineer – Testing &amp; QA</w:t>
            </w:r>
          </w:p>
        </w:tc>
        <w:tc>
          <w:tcPr/>
          <w:p>
            <w:pPr>
              <w:pStyle w:val="Compact"/>
              <w:jc w:val="left"/>
            </w:pPr>
            <w:r>
              <w:t xml:space="preserve">3 weeks</w:t>
            </w:r>
          </w:p>
        </w:tc>
        <w:tc>
          <w:tcPr/>
          <w:p>
            <w:pPr>
              <w:pStyle w:val="Compact"/>
              <w:jc w:val="left"/>
            </w:pPr>
            <w:r>
              <w:t xml:space="preserve">9,500</w:t>
            </w:r>
          </w:p>
        </w:tc>
        <w:tc>
          <w:tcPr/>
          <w:p>
            <w:pPr>
              <w:pStyle w:val="Compact"/>
              <w:jc w:val="left"/>
            </w:pPr>
            <w:r>
              <w:t xml:space="preserve">28,500.00</w:t>
            </w:r>
          </w:p>
        </w:tc>
      </w:tr>
      <w:tr>
        <w:tc>
          <w:tcPr/>
          <w:p>
            <w:pPr>
              <w:pStyle w:val="Compact"/>
              <w:jc w:val="left"/>
            </w:pPr>
            <w:r>
              <w:t xml:space="preserve">Software Engineer – Deployment &amp; Handover</w:t>
            </w:r>
          </w:p>
        </w:tc>
        <w:tc>
          <w:tcPr/>
          <w:p>
            <w:pPr>
              <w:pStyle w:val="Compact"/>
              <w:jc w:val="left"/>
            </w:pPr>
            <w:r>
              <w:t xml:space="preserve">2 weeks</w:t>
            </w:r>
          </w:p>
        </w:tc>
        <w:tc>
          <w:tcPr/>
          <w:p>
            <w:pPr>
              <w:pStyle w:val="Compact"/>
              <w:jc w:val="left"/>
            </w:pPr>
            <w:r>
              <w:t xml:space="preserve">9,000</w:t>
            </w:r>
          </w:p>
        </w:tc>
        <w:tc>
          <w:tcPr/>
          <w:p>
            <w:pPr>
              <w:pStyle w:val="Compact"/>
              <w:jc w:val="left"/>
            </w:pPr>
            <w:r>
              <w:t xml:space="preserve">18,000.00</w:t>
            </w:r>
          </w:p>
        </w:tc>
      </w:tr>
      <w:tr>
        <w:tc>
          <w:tcPr/>
          <w:p>
            <w:pPr>
              <w:pStyle w:val="Compact"/>
              <w:jc w:val="left"/>
            </w:pPr>
            <w:r>
              <w:t xml:space="preserve">Post-Deployment Support (Hypercare)</w:t>
            </w:r>
          </w:p>
        </w:tc>
        <w:tc>
          <w:tcPr/>
          <w:p>
            <w:pPr>
              <w:pStyle w:val="Compact"/>
              <w:jc w:val="left"/>
            </w:pPr>
            <w:r>
              <w:t xml:space="preserve">1 week</w:t>
            </w:r>
          </w:p>
        </w:tc>
        <w:tc>
          <w:tcPr/>
          <w:p>
            <w:pPr>
              <w:pStyle w:val="Compact"/>
              <w:jc w:val="left"/>
            </w:pPr>
            <w:r>
              <w:t xml:space="preserve">7,500</w:t>
            </w:r>
          </w:p>
        </w:tc>
        <w:tc>
          <w:tcPr/>
          <w:p>
            <w:pPr>
              <w:pStyle w:val="Compact"/>
              <w:jc w:val="left"/>
            </w:pPr>
            <w:r>
              <w:t xml:space="preserve">7,500.00</w:t>
            </w:r>
          </w:p>
        </w:tc>
      </w:tr>
      <w:tr>
        <w:tc>
          <w:tcPr/>
          <w:p>
            <w:pPr>
              <w:pStyle w:val="Compact"/>
              <w:jc w:val="left"/>
            </w:pPr>
            <w:r>
              <w:t xml:space="preserve">Project Management &amp; Coordination (15%)</w:t>
            </w:r>
          </w:p>
        </w:tc>
        <w:tc>
          <w:tcPr/>
          <w:p>
            <w:pPr>
              <w:pStyle w:val="Compact"/>
              <w:jc w:val="left"/>
            </w:pPr>
            <w:r>
              <w:t xml:space="preserve">16 weeks</w:t>
            </w:r>
          </w:p>
        </w:tc>
        <w:tc>
          <w:tcPr/>
          <w:p>
            <w:pPr>
              <w:pStyle w:val="Compact"/>
              <w:jc w:val="left"/>
            </w:pPr>
            <w:r>
              <w:t xml:space="preserve">—</w:t>
            </w:r>
          </w:p>
        </w:tc>
        <w:tc>
          <w:tcPr/>
          <w:p>
            <w:pPr>
              <w:pStyle w:val="Compact"/>
              <w:jc w:val="left"/>
            </w:pPr>
            <w:r>
              <w:t xml:space="preserve">25,200.00</w:t>
            </w:r>
          </w:p>
        </w:tc>
      </w:tr>
      <w:tr>
        <w:tc>
          <w:tcPr/>
          <w:p>
            <w:pPr>
              <w:pStyle w:val="Compact"/>
              <w:jc w:val="left"/>
            </w:pPr>
            <w:r>
              <w:t xml:space="preserve">Travel &amp; Local Expenses (Spain Valencia)</w:t>
            </w:r>
          </w:p>
        </w:tc>
        <w:tc>
          <w:tcPr/>
          <w:p>
            <w:pPr>
              <w:pStyle w:val="Compact"/>
              <w:jc w:val="left"/>
            </w:pPr>
            <w:r>
              <w:t xml:space="preserve">Flat</w:t>
            </w:r>
          </w:p>
        </w:tc>
        <w:tc>
          <w:tcPr/>
          <w:p>
            <w:pPr>
              <w:pStyle w:val="Compact"/>
              <w:jc w:val="left"/>
            </w:pPr>
            <w:r>
              <w:t xml:space="preserve">—</w:t>
            </w:r>
          </w:p>
        </w:tc>
        <w:tc>
          <w:tcPr/>
          <w:p>
            <w:pPr>
              <w:pStyle w:val="Compact"/>
              <w:jc w:val="left"/>
            </w:pPr>
            <w:r>
              <w:t xml:space="preserve">1,200.00</w:t>
            </w:r>
          </w:p>
        </w:tc>
      </w:tr>
      <w:tr>
        <w:tc>
          <w:tcPr>
            <w:gridSpan w:val="3"/>
          </w:tcPr>
          <w:p>
            <w:pPr>
              <w:pStyle w:val="Compact"/>
              <w:jc w:val="left"/>
            </w:pPr>
            <w:r>
              <w:t xml:space="preserve">Subtotal (excl. VAT)</w:t>
            </w:r>
          </w:p>
        </w:tc>
        <w:tc>
          <w:tcPr/>
          <w:p>
            <w:pPr>
              <w:pStyle w:val="Compact"/>
              <w:jc w:val="left"/>
            </w:pPr>
            <w:r>
              <w:t xml:space="preserve">178,400.00</w:t>
            </w:r>
          </w:p>
        </w:tc>
      </w:tr>
      <w:tr>
        <w:tc>
          <w:tcPr>
            <w:gridSpan w:val="3"/>
          </w:tcPr>
          <w:p>
            <w:pPr>
              <w:pStyle w:val="Compact"/>
              <w:jc w:val="left"/>
            </w:pPr>
            <w:r>
              <w:t xml:space="preserve">VAT (21% – Spain)</w:t>
            </w:r>
          </w:p>
        </w:tc>
        <w:tc>
          <w:tcPr/>
          <w:p>
            <w:pPr>
              <w:pStyle w:val="Compact"/>
              <w:jc w:val="left"/>
            </w:pPr>
            <w:r>
              <w:t xml:space="preserve">37,464.00</w:t>
            </w:r>
          </w:p>
        </w:tc>
      </w:tr>
      <w:tr>
        <w:tc>
          <w:tcPr>
            <w:gridSpan w:val="3"/>
          </w:tcPr>
          <w:p>
            <w:pPr>
              <w:pStyle w:val="Compact"/>
              <w:jc w:val="left"/>
            </w:pPr>
            <w:r>
              <w:rPr>
                <w:bCs/>
                <w:b/>
              </w:rPr>
              <w:t xml:space="preserve">TOTAL (incl. VAT)</w:t>
            </w:r>
          </w:p>
        </w:tc>
        <w:tc>
          <w:tcPr/>
          <w:p>
            <w:pPr>
              <w:pStyle w:val="Compact"/>
              <w:jc w:val="left"/>
            </w:pPr>
            <w:r>
              <w:rPr>
                <w:bCs/>
                <w:b/>
              </w:rPr>
              <w:t xml:space="preserve">215,864.00</w:t>
            </w:r>
          </w:p>
        </w:tc>
      </w:tr>
    </w:tbl>
    <w:bookmarkEnd w:id="24"/>
    <w:bookmarkStart w:id="25" w:name="payment-terms"/>
    <w:p>
      <w:pPr>
        <w:pStyle w:val="Heading2"/>
      </w:pPr>
      <w:r>
        <w:t xml:space="preserve">5. Payment Terms</w:t>
      </w:r>
    </w:p>
    <w:p>
      <w:pPr>
        <w:pStyle w:val="FirstParagraph"/>
      </w:pPr>
      <w:r>
        <w:t xml:space="preserve">Payment for the services outlined in this Quotation Estimate shall be made in accordance with the following schedule: 20% upon contract signing, 30% upon completion of Phase 3 (Core Development), 30% upon successful UAT sign-off, and the remaining 20% upon final handover and acceptance. All invoices are payable within 30 days of the invoice date via bank transfer to the account details provided by TechNova Solutions S.L. Late payments shall accrue interest at the rate prescribed by Spanish commercial law (Ley de Morosidad).</w:t>
      </w:r>
    </w:p>
    <w:bookmarkEnd w:id="25"/>
    <w:bookmarkStart w:id="26" w:name="assumptions-exclusions"/>
    <w:p>
      <w:pPr>
        <w:pStyle w:val="Heading2"/>
      </w:pPr>
      <w:r>
        <w:t xml:space="preserve">6. Assumptions &amp; Exclusions</w:t>
      </w:r>
    </w:p>
    <w:p>
      <w:pPr>
        <w:pStyle w:val="FirstParagraph"/>
      </w:pPr>
      <w:r>
        <w:t xml:space="preserve">This Quotation Estimate assumes that the client will provide timely access to all necessary systems, credentials, and subject-matter experts. The Software Engineer will work from the designated office space in Spain Valencia during on-site days. Excluded from this estimate are: licensing fees for third-party software, hardware procurement, infrastructure costs beyond standard cloud usage, and any scope changes exceeding 10% of the original requirements. Additional work will be quoted separately via a supplementary Quotation Estimate.</w:t>
      </w:r>
    </w:p>
    <w:bookmarkEnd w:id="26"/>
    <w:bookmarkStart w:id="27" w:name="confidentiality-intellectual-property"/>
    <w:p>
      <w:pPr>
        <w:pStyle w:val="Heading2"/>
      </w:pPr>
      <w:r>
        <w:t xml:space="preserve">7. Confidentiality &amp; Intellectual Property</w:t>
      </w:r>
    </w:p>
    <w:p>
      <w:pPr>
        <w:pStyle w:val="FirstParagraph"/>
      </w:pPr>
      <w:r>
        <w:t xml:space="preserve">All work product created by the Software Engineer during the engagement in Spain Valencia shall be the exclusive intellectual property of the client upon full payment. Both parties agree to maintain strict confidentiality of all proprietary information exchanged during the project, in accordance with the Spanish Data Protection Act (LOPDGDD) and the EU General Data Protection Regulation (GDPR).</w:t>
      </w:r>
    </w:p>
    <w:bookmarkEnd w:id="27"/>
    <w:bookmarkStart w:id="28" w:name="terms-conditions"/>
    <w:p>
      <w:pPr>
        <w:pStyle w:val="Heading2"/>
      </w:pPr>
      <w:r>
        <w:t xml:space="preserve">8. Terms &amp; Conditions</w:t>
      </w:r>
    </w:p>
    <w:p>
      <w:pPr>
        <w:pStyle w:val="FirstParagraph"/>
      </w:pPr>
      <w:r>
        <w:t xml:space="preserve">This Quotation Estimate is valid for 30 calendar days from the date of issue. Acceptance of this Quotation Estimate constitutes agreement to all terms herein. Any modifications to scope, timeline, or deliverables must be documented in a written change order signed by both parties. Disputes arising from this engagement shall be governed by the laws of Spain and subject to the exclusive jurisdiction of the courts of Valencia. This Quotation Estimate does not constitute a binding contract until a formal service agreement is executed by both parties.</w:t>
      </w:r>
    </w:p>
    <w:p>
      <w:pPr>
        <w:pStyle w:val="BodyText"/>
      </w:pPr>
      <w:r>
        <w:rPr>
          <w:bCs/>
          <w:b/>
        </w:rPr>
        <w:t xml:space="preserve">Note:</w:t>
      </w:r>
      <w:r>
        <w:t xml:space="preserve"> </w:t>
      </w:r>
      <w:r>
        <w:t xml:space="preserve">This Quotation Estimate reflects the current market rates for a senior Software Engineer in the Spain Valencia region as of June 2025. Rates are subject to review should the project extend beyond the 16-week timeline or if significant scope changes are introduced. TechNova Solutions S.L. reserves the right to update pricing for engagements commencing after the validity period of this document.</w:t>
      </w:r>
    </w:p>
    <w:p>
      <w:pPr>
        <w:pStyle w:val="BodyText"/>
      </w:pPr>
      <w:r>
        <w:rPr>
          <w:bCs/>
          <w:b/>
        </w:rPr>
        <w:t xml:space="preserve">For TechNova Solutions S.L.</w:t>
      </w:r>
      <w:r>
        <w:br/>
      </w:r>
      <w:r>
        <w:t xml:space="preserve">Authorised Signatory</w:t>
      </w:r>
      <w:r>
        <w:br/>
      </w:r>
      <w:r>
        <w:t xml:space="preserve">Date: _______________</w:t>
      </w:r>
    </w:p>
    <w:p>
      <w:pPr>
        <w:pStyle w:val="BodyText"/>
      </w:pPr>
      <w:r>
        <w:rPr>
          <w:bCs/>
          <w:b/>
        </w:rPr>
        <w:t xml:space="preserve">For the Client</w:t>
      </w:r>
      <w:r>
        <w:br/>
      </w:r>
      <w:r>
        <w:t xml:space="preserve">Authorised Signatory</w:t>
      </w:r>
      <w:r>
        <w:br/>
      </w:r>
      <w:r>
        <w:t xml:space="preserve">Date: _______________</w:t>
      </w:r>
    </w:p>
    <w:p>
      <w:pPr>
        <w:pStyle w:val="BodyText"/>
      </w:pPr>
      <w:r>
        <w:t xml:space="preserve">TechNova Solutions S.L. | C/ Colón 42, 46004 Valencia, Spain | CIF: B-98765432 | Tel: +34 963 000 000 | Email: quotes@technova-solutions.es</w:t>
      </w:r>
    </w:p>
    <w:p>
      <w:pPr>
        <w:pStyle w:val="BodyText"/>
      </w:pPr>
      <w:r>
        <w:t xml:space="preserve">This Quotation Estimate was generated on 15 June 2025. Document Reference: QTE-2025-VAL-0047.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Spain Valencia</dc:title>
  <dc:creator/>
  <dc:language>en</dc:language>
  <cp:keywords/>
  <dcterms:created xsi:type="dcterms:W3CDTF">2026-10-10T01:02:49Z</dcterms:created>
  <dcterms:modified xsi:type="dcterms:W3CDTF">2026-10-10T01:02:49Z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