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Software Engineer Services | Turkey Istanbul</w:t>
      </w:r>
    </w:p>
    <w:p>
      <w:pPr>
        <w:pStyle w:val="BodyText"/>
      </w:pPr>
      <w:r>
        <w:t xml:space="preserve">Document Reference: QE-IST-2025-0472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QE-IST-2025-0472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Digital Solutions Ltd. – Istanbul Office</w:t>
            </w:r>
          </w:p>
        </w:tc>
      </w:tr>
      <w:tr>
        <w:tc>
          <w:tcPr/>
          <w:p>
            <w:pPr>
              <w:pStyle w:val="Compact"/>
              <w:jc w:val="left"/>
            </w:pPr>
            <w:r>
              <w:t xml:space="preserve">Prepared For</w:t>
            </w:r>
          </w:p>
        </w:tc>
        <w:tc>
          <w:tcPr/>
          <w:p>
            <w:pPr>
              <w:pStyle w:val="Compact"/>
              <w:jc w:val="left"/>
            </w:pPr>
            <w:r>
              <w:t xml:space="preserve">[Client Name / Company Name]</w:t>
            </w:r>
          </w:p>
        </w:tc>
      </w:tr>
      <w:tr>
        <w:tc>
          <w:tcPr/>
          <w:p>
            <w:pPr>
              <w:pStyle w:val="Compact"/>
              <w:jc w:val="left"/>
            </w:pPr>
            <w:r>
              <w:t xml:space="preserve">Service Location</w:t>
            </w:r>
          </w:p>
        </w:tc>
        <w:tc>
          <w:tcPr/>
          <w:p>
            <w:pPr>
              <w:pStyle w:val="Compact"/>
              <w:jc w:val="left"/>
            </w:pPr>
            <w:r>
              <w:t xml:space="preserve">Turkey Istanbul – Levent Business District, 34330</w:t>
            </w:r>
          </w:p>
        </w:tc>
      </w:tr>
      <w:tr>
        <w:tc>
          <w:tcPr/>
          <w:p>
            <w:pPr>
              <w:pStyle w:val="Compact"/>
              <w:jc w:val="left"/>
            </w:pPr>
            <w:r>
              <w:t xml:space="preserve">Engagement Type</w:t>
            </w:r>
          </w:p>
        </w:tc>
        <w:tc>
          <w:tcPr/>
          <w:p>
            <w:pPr>
              <w:pStyle w:val="Compact"/>
              <w:jc w:val="left"/>
            </w:pPr>
            <w:r>
              <w:t xml:space="preserve">Full-Time Software Engineer (On-Site / Hybrid)</w:t>
            </w:r>
          </w:p>
        </w:tc>
      </w:tr>
      <w:tr>
        <w:tc>
          <w:tcPr/>
          <w:p>
            <w:pPr>
              <w:pStyle w:val="Compact"/>
              <w:jc w:val="left"/>
            </w:pPr>
            <w:r>
              <w:t xml:space="preserve">Contract Duration</w:t>
            </w:r>
          </w:p>
        </w:tc>
        <w:tc>
          <w:tcPr/>
          <w:p>
            <w:pPr>
              <w:pStyle w:val="Compact"/>
              <w:jc w:val="left"/>
            </w:pPr>
            <w:r>
              <w:t xml:space="preserve">12 Months (with optional 6-month renewal)</w:t>
            </w:r>
          </w:p>
        </w:tc>
      </w:tr>
    </w:tbl>
    <w:bookmarkStart w:id="21" w:name="executive-summary"/>
    <w:p>
      <w:pPr>
        <w:pStyle w:val="Heading2"/>
      </w:pPr>
      <w:r>
        <w:t xml:space="preserve">1. Executive Summary</w:t>
      </w:r>
    </w:p>
    <w:p>
      <w:pPr>
        <w:pStyle w:val="FirstParagraph"/>
      </w:pPr>
      <w:r>
        <w:t xml:space="preserve">This Quotation Estimate is issued by Meridian Digital Solutions Ltd. to formally present the cost structure, scope of deliverables, and professional terms for the engagement of a senior Software Engineer based in Turkey Istanbul. The Software Engineer will be dedicated exclusively to the client's project portfolio for the duration specified herein. This Quotation Estimate reflects current market rates for qualified Software Engineer professionals operating within the Turkey Istanbul technology ecosystem, which has grown significantly over the past decade as a regional hub for software development, fintech, and enterprise solutions.</w:t>
      </w:r>
    </w:p>
    <w:p>
      <w:pPr>
        <w:pStyle w:val="BodyText"/>
      </w:pPr>
      <w:r>
        <w:t xml:space="preserve">The Software Engineer proposed for this engagement holds a minimum of eight years of professional experience in full-stack development, cloud architecture, and enterprise application design. The candidate is fluent in English and Turkish, ensuring seamless communication with both local stakeholders in Turkey Istanbul and international project teams. This Quotation Estimate encompasses all labor costs, overheads, and professional service fees associated with the Software Engineer's deployment.</w:t>
      </w:r>
    </w:p>
    <w:bookmarkEnd w:id="21"/>
    <w:bookmarkStart w:id="22" w:name="scope-of-services"/>
    <w:p>
      <w:pPr>
        <w:pStyle w:val="Heading2"/>
      </w:pPr>
      <w:r>
        <w:t xml:space="preserve">2. Scope of Services</w:t>
      </w:r>
    </w:p>
    <w:p>
      <w:pPr>
        <w:pStyle w:val="FirstParagraph"/>
      </w:pPr>
      <w:r>
        <w:t xml:space="preserve">The Software Engineer engaged under this Quotation Estimate will perform the following duties and responsibilities:</w:t>
      </w:r>
    </w:p>
    <w:p>
      <w:pPr>
        <w:numPr>
          <w:ilvl w:val="0"/>
          <w:numId w:val="1001"/>
        </w:numPr>
        <w:pStyle w:val="Compact"/>
      </w:pPr>
      <w:r>
        <w:t xml:space="preserve">Design, develop, and maintain scalable software applications using modern technology stacks (Java, Python, C#, React, Node.js, and related frameworks).</w:t>
      </w:r>
    </w:p>
    <w:p>
      <w:pPr>
        <w:numPr>
          <w:ilvl w:val="0"/>
          <w:numId w:val="1001"/>
        </w:numPr>
        <w:pStyle w:val="Compact"/>
      </w:pPr>
      <w:r>
        <w:t xml:space="preserve">Architect cloud-based solutions on AWS, Azure, or GCP platforms, ensuring high availability and compliance with international data protection standards.</w:t>
      </w:r>
    </w:p>
    <w:p>
      <w:pPr>
        <w:numPr>
          <w:ilvl w:val="0"/>
          <w:numId w:val="1001"/>
        </w:numPr>
        <w:pStyle w:val="Compact"/>
      </w:pPr>
      <w:r>
        <w:t xml:space="preserve">Conduct code reviews, implement CI/CD pipelines, and enforce best practices in software engineering within the Turkey Istanbul development team.</w:t>
      </w:r>
    </w:p>
    <w:p>
      <w:pPr>
        <w:numPr>
          <w:ilvl w:val="0"/>
          <w:numId w:val="1001"/>
        </w:numPr>
        <w:pStyle w:val="Compact"/>
      </w:pPr>
      <w:r>
        <w:t xml:space="preserve">Collaborate with product managers, QA engineers, and business analysts to translate requirements into technical specifications.</w:t>
      </w:r>
    </w:p>
    <w:p>
      <w:pPr>
        <w:numPr>
          <w:ilvl w:val="0"/>
          <w:numId w:val="1001"/>
        </w:numPr>
        <w:pStyle w:val="Compact"/>
      </w:pPr>
      <w:r>
        <w:t xml:space="preserve">Provide technical mentorship to junior developers and contribute to knowledge-sharing sessions within the Turkey Istanbul office.</w:t>
      </w:r>
    </w:p>
    <w:p>
      <w:pPr>
        <w:numPr>
          <w:ilvl w:val="0"/>
          <w:numId w:val="1001"/>
        </w:numPr>
        <w:pStyle w:val="Compact"/>
      </w:pPr>
      <w:r>
        <w:t xml:space="preserve">Participate in agile sprint ceremonies, including daily stand-ups, sprint planning, retrospectives, and demo presentations.</w:t>
      </w:r>
    </w:p>
    <w:p>
      <w:pPr>
        <w:numPr>
          <w:ilvl w:val="0"/>
          <w:numId w:val="1001"/>
        </w:numPr>
        <w:pStyle w:val="Compact"/>
      </w:pPr>
      <w:r>
        <w:t xml:space="preserve">Ensure adherence to security protocols, including OWASP guidelines and GDPR-compliant data handling practices relevant to operations in Turkey Istanbul.</w:t>
      </w:r>
    </w:p>
    <w:bookmarkEnd w:id="22"/>
    <w:bookmarkStart w:id="23" w:name="quotation-estimate-pricing-breakdown"/>
    <w:p>
      <w:pPr>
        <w:pStyle w:val="Heading2"/>
      </w:pPr>
      <w:r>
        <w:t xml:space="preserve">3. Quotation Estimate – Pricing Breakdown</w:t>
      </w:r>
    </w:p>
    <w:p>
      <w:pPr>
        <w:pStyle w:val="FirstParagraph"/>
      </w:pPr>
      <w:r>
        <w:t xml:space="preserve">The following Quotation Estimate details the monthly and total cost structure for the Software Engineer engagement. All figures are presented in Turkish Lira (TRY) and United States Dollars (USD) for the client's convenience. Exchange rate reference: 1 USD = 34.50 TRY (as of the date of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Cost Item</w:t>
            </w:r>
          </w:p>
        </w:tc>
        <w:tc>
          <w:tcPr/>
          <w:p>
            <w:pPr>
              <w:pStyle w:val="Compact"/>
              <w:jc w:val="left"/>
            </w:pPr>
            <w:r>
              <w:t xml:space="preserve">Monthly (TRY)</w:t>
            </w:r>
          </w:p>
        </w:tc>
        <w:tc>
          <w:tcPr/>
          <w:p>
            <w:pPr>
              <w:pStyle w:val="Compact"/>
              <w:jc w:val="left"/>
            </w:pPr>
            <w:r>
              <w:t xml:space="preserve">Monthly (USD)</w:t>
            </w:r>
          </w:p>
        </w:tc>
        <w:tc>
          <w:tcPr/>
          <w:p>
            <w:pPr>
              <w:pStyle w:val="Compact"/>
              <w:jc w:val="left"/>
            </w:pPr>
            <w:r>
              <w:t xml:space="preserve">Annual (TRY)</w:t>
            </w:r>
          </w:p>
        </w:tc>
        <w:tc>
          <w:tcPr/>
          <w:p>
            <w:pPr>
              <w:pStyle w:val="Compact"/>
              <w:jc w:val="left"/>
            </w:pPr>
            <w:r>
              <w:t xml:space="preserve">Annual (USD)</w:t>
            </w:r>
          </w:p>
        </w:tc>
      </w:tr>
      <w:tr>
        <w:tc>
          <w:tcPr/>
          <w:p>
            <w:pPr>
              <w:pStyle w:val="Compact"/>
              <w:jc w:val="left"/>
            </w:pPr>
            <w:r>
              <w:t xml:space="preserve">Software Engineer Base Salary</w:t>
            </w:r>
          </w:p>
        </w:tc>
        <w:tc>
          <w:tcPr/>
          <w:p>
            <w:pPr>
              <w:pStyle w:val="Compact"/>
              <w:jc w:val="left"/>
            </w:pPr>
            <w:r>
              <w:t xml:space="preserve">185,000</w:t>
            </w:r>
          </w:p>
        </w:tc>
        <w:tc>
          <w:tcPr/>
          <w:p>
            <w:pPr>
              <w:pStyle w:val="Compact"/>
              <w:jc w:val="left"/>
            </w:pPr>
            <w:r>
              <w:t xml:space="preserve">5,362</w:t>
            </w:r>
          </w:p>
        </w:tc>
        <w:tc>
          <w:tcPr/>
          <w:p>
            <w:pPr>
              <w:pStyle w:val="Compact"/>
              <w:jc w:val="left"/>
            </w:pPr>
            <w:r>
              <w:t xml:space="preserve">2,220,000</w:t>
            </w:r>
          </w:p>
        </w:tc>
        <w:tc>
          <w:tcPr/>
          <w:p>
            <w:pPr>
              <w:pStyle w:val="Compact"/>
              <w:jc w:val="left"/>
            </w:pPr>
            <w:r>
              <w:t xml:space="preserve">64,348</w:t>
            </w:r>
          </w:p>
        </w:tc>
      </w:tr>
      <w:tr>
        <w:tc>
          <w:tcPr/>
          <w:p>
            <w:pPr>
              <w:pStyle w:val="Compact"/>
              <w:jc w:val="left"/>
            </w:pPr>
            <w:r>
              <w:t xml:space="preserve">Statutory Social Security &amp; Tax (Employer Share – Turkey Istanbul)</w:t>
            </w:r>
          </w:p>
        </w:tc>
        <w:tc>
          <w:tcPr/>
          <w:p>
            <w:pPr>
              <w:pStyle w:val="Compact"/>
              <w:jc w:val="left"/>
            </w:pPr>
            <w:r>
              <w:t xml:space="preserve">42,750</w:t>
            </w:r>
          </w:p>
        </w:tc>
        <w:tc>
          <w:tcPr/>
          <w:p>
            <w:pPr>
              <w:pStyle w:val="Compact"/>
              <w:jc w:val="left"/>
            </w:pPr>
            <w:r>
              <w:t xml:space="preserve">1,239</w:t>
            </w:r>
          </w:p>
        </w:tc>
        <w:tc>
          <w:tcPr/>
          <w:p>
            <w:pPr>
              <w:pStyle w:val="Compact"/>
              <w:jc w:val="left"/>
            </w:pPr>
            <w:r>
              <w:t xml:space="preserve">513,000</w:t>
            </w:r>
          </w:p>
        </w:tc>
        <w:tc>
          <w:tcPr/>
          <w:p>
            <w:pPr>
              <w:pStyle w:val="Compact"/>
              <w:jc w:val="left"/>
            </w:pPr>
            <w:r>
              <w:t xml:space="preserve">14,870</w:t>
            </w:r>
          </w:p>
        </w:tc>
      </w:tr>
      <w:tr>
        <w:tc>
          <w:tcPr/>
          <w:p>
            <w:pPr>
              <w:pStyle w:val="Compact"/>
              <w:jc w:val="left"/>
            </w:pPr>
            <w:r>
              <w:t xml:space="preserve">Professional Services &amp; Management Fee (15%)</w:t>
            </w:r>
          </w:p>
        </w:tc>
        <w:tc>
          <w:tcPr/>
          <w:p>
            <w:pPr>
              <w:pStyle w:val="Compact"/>
              <w:jc w:val="left"/>
            </w:pPr>
            <w:r>
              <w:t xml:space="preserve">27,750</w:t>
            </w:r>
          </w:p>
        </w:tc>
        <w:tc>
          <w:tcPr/>
          <w:p>
            <w:pPr>
              <w:pStyle w:val="Compact"/>
              <w:jc w:val="left"/>
            </w:pPr>
            <w:r>
              <w:t xml:space="preserve">804</w:t>
            </w:r>
          </w:p>
        </w:tc>
        <w:tc>
          <w:tcPr/>
          <w:p>
            <w:pPr>
              <w:pStyle w:val="Compact"/>
              <w:jc w:val="left"/>
            </w:pPr>
            <w:r>
              <w:t xml:space="preserve">333,000</w:t>
            </w:r>
          </w:p>
        </w:tc>
        <w:tc>
          <w:tcPr/>
          <w:p>
            <w:pPr>
              <w:pStyle w:val="Compact"/>
              <w:jc w:val="left"/>
            </w:pPr>
            <w:r>
              <w:t xml:space="preserve">9,652</w:t>
            </w:r>
          </w:p>
        </w:tc>
      </w:tr>
      <w:tr>
        <w:tc>
          <w:tcPr/>
          <w:p>
            <w:pPr>
              <w:pStyle w:val="Compact"/>
              <w:jc w:val="left"/>
            </w:pPr>
            <w:r>
              <w:t xml:space="preserve">Workstation, Software Licenses &amp; Infrastructure</w:t>
            </w:r>
          </w:p>
        </w:tc>
        <w:tc>
          <w:tcPr/>
          <w:p>
            <w:pPr>
              <w:pStyle w:val="Compact"/>
              <w:jc w:val="left"/>
            </w:pPr>
            <w:r>
              <w:t xml:space="preserve">12,500</w:t>
            </w:r>
          </w:p>
        </w:tc>
        <w:tc>
          <w:tcPr/>
          <w:p>
            <w:pPr>
              <w:pStyle w:val="Compact"/>
              <w:jc w:val="left"/>
            </w:pPr>
            <w:r>
              <w:t xml:space="preserve">362</w:t>
            </w:r>
          </w:p>
        </w:tc>
        <w:tc>
          <w:tcPr/>
          <w:p>
            <w:pPr>
              <w:pStyle w:val="Compact"/>
              <w:jc w:val="left"/>
            </w:pPr>
            <w:r>
              <w:t xml:space="preserve">150,000</w:t>
            </w:r>
          </w:p>
        </w:tc>
        <w:tc>
          <w:tcPr/>
          <w:p>
            <w:pPr>
              <w:pStyle w:val="Compact"/>
              <w:jc w:val="left"/>
            </w:pPr>
            <w:r>
              <w:t xml:space="preserve">4,348</w:t>
            </w:r>
          </w:p>
        </w:tc>
      </w:tr>
      <w:tr>
        <w:tc>
          <w:tcPr/>
          <w:p>
            <w:pPr>
              <w:pStyle w:val="Compact"/>
              <w:jc w:val="left"/>
            </w:pPr>
            <w:r>
              <w:t xml:space="preserve">Office Space Allocation (Turkey Istanbul – Levent)</w:t>
            </w:r>
          </w:p>
        </w:tc>
        <w:tc>
          <w:tcPr/>
          <w:p>
            <w:pPr>
              <w:pStyle w:val="Compact"/>
              <w:jc w:val="left"/>
            </w:pPr>
            <w:r>
              <w:t xml:space="preserve">18,000</w:t>
            </w:r>
          </w:p>
        </w:tc>
        <w:tc>
          <w:tcPr/>
          <w:p>
            <w:pPr>
              <w:pStyle w:val="Compact"/>
              <w:jc w:val="left"/>
            </w:pPr>
            <w:r>
              <w:t xml:space="preserve">522</w:t>
            </w:r>
          </w:p>
        </w:tc>
        <w:tc>
          <w:tcPr/>
          <w:p>
            <w:pPr>
              <w:pStyle w:val="Compact"/>
              <w:jc w:val="left"/>
            </w:pPr>
            <w:r>
              <w:t xml:space="preserve">216,000</w:t>
            </w:r>
          </w:p>
        </w:tc>
        <w:tc>
          <w:tcPr/>
          <w:p>
            <w:pPr>
              <w:pStyle w:val="Compact"/>
              <w:jc w:val="left"/>
            </w:pPr>
            <w:r>
              <w:t xml:space="preserve">6,261</w:t>
            </w:r>
          </w:p>
        </w:tc>
      </w:tr>
      <w:tr>
        <w:tc>
          <w:tcPr/>
          <w:p>
            <w:pPr>
              <w:pStyle w:val="Compact"/>
              <w:jc w:val="left"/>
            </w:pPr>
            <w:r>
              <w:t xml:space="preserve">Health Insurance &amp; Ancillary Benefits</w:t>
            </w:r>
          </w:p>
        </w:tc>
        <w:tc>
          <w:tcPr/>
          <w:p>
            <w:pPr>
              <w:pStyle w:val="Compact"/>
              <w:jc w:val="left"/>
            </w:pPr>
            <w:r>
              <w:t xml:space="preserve">8,500</w:t>
            </w:r>
          </w:p>
        </w:tc>
        <w:tc>
          <w:tcPr/>
          <w:p>
            <w:pPr>
              <w:pStyle w:val="Compact"/>
              <w:jc w:val="left"/>
            </w:pPr>
            <w:r>
              <w:t xml:space="preserve">246</w:t>
            </w:r>
          </w:p>
        </w:tc>
        <w:tc>
          <w:tcPr/>
          <w:p>
            <w:pPr>
              <w:pStyle w:val="Compact"/>
              <w:jc w:val="left"/>
            </w:pPr>
            <w:r>
              <w:t xml:space="preserve">102,000</w:t>
            </w:r>
          </w:p>
        </w:tc>
        <w:tc>
          <w:tcPr/>
          <w:p>
            <w:pPr>
              <w:pStyle w:val="Compact"/>
              <w:jc w:val="left"/>
            </w:pPr>
            <w:r>
              <w:t xml:space="preserve">2,957</w:t>
            </w:r>
          </w:p>
        </w:tc>
      </w:tr>
      <w:tr>
        <w:tc>
          <w:tcPr/>
          <w:p>
            <w:pPr>
              <w:pStyle w:val="Compact"/>
              <w:jc w:val="left"/>
            </w:pPr>
            <w:r>
              <w:t xml:space="preserve">TOTAL (Per Month / Per Year)</w:t>
            </w:r>
          </w:p>
        </w:tc>
        <w:tc>
          <w:tcPr/>
          <w:p>
            <w:pPr>
              <w:pStyle w:val="Compact"/>
              <w:jc w:val="left"/>
            </w:pPr>
            <w:r>
              <w:t xml:space="preserve">294,500</w:t>
            </w:r>
          </w:p>
        </w:tc>
        <w:tc>
          <w:tcPr/>
          <w:p>
            <w:pPr>
              <w:pStyle w:val="Compact"/>
              <w:jc w:val="left"/>
            </w:pPr>
            <w:r>
              <w:t xml:space="preserve">8,535</w:t>
            </w:r>
          </w:p>
        </w:tc>
        <w:tc>
          <w:tcPr/>
          <w:p>
            <w:pPr>
              <w:pStyle w:val="Compact"/>
              <w:jc w:val="left"/>
            </w:pPr>
            <w:r>
              <w:t xml:space="preserve">3,534,000</w:t>
            </w:r>
          </w:p>
        </w:tc>
        <w:tc>
          <w:tcPr/>
          <w:p>
            <w:pPr>
              <w:pStyle w:val="Compact"/>
              <w:jc w:val="left"/>
            </w:pPr>
            <w:r>
              <w:t xml:space="preserve">102,436</w:t>
            </w:r>
          </w:p>
        </w:tc>
      </w:tr>
    </w:tbl>
    <w:p>
      <w:pPr>
        <w:pStyle w:val="BodyText"/>
      </w:pPr>
      <w:r>
        <w:rPr>
          <w:bCs/>
          <w:b/>
        </w:rPr>
        <w:t xml:space="preserve">Note:</w:t>
      </w:r>
      <w:r>
        <w:t xml:space="preserve"> </w:t>
      </w:r>
      <w:r>
        <w:t xml:space="preserve">This Quotation Estimate does not include one-time onboarding costs (estimated at 25,000 TRY / 725 USD) for background verification, work permit processing for the Software Engineer in Turkey Istanbul, and initial equipment procurement. These will be invoiced separately upon contract execution.</w:t>
      </w:r>
    </w:p>
    <w:bookmarkEnd w:id="23"/>
    <w:bookmarkStart w:id="24" w:name="payment-terms"/>
    <w:p>
      <w:pPr>
        <w:pStyle w:val="Heading2"/>
      </w:pPr>
      <w:r>
        <w:t xml:space="preserve">4. Payment Terms</w:t>
      </w:r>
    </w:p>
    <w:p>
      <w:pPr>
        <w:pStyle w:val="FirstParagraph"/>
      </w:pPr>
      <w:r>
        <w:t xml:space="preserve">Payment for the Software Engineer services outlined in this Quotation Estimate shall be made on a monthly basis, in advance, via bank transfer to the designated account of Meridian Digital Solutions Ltd. in Turkey Istanbul. Invoices will be issued on the 25th of each month for the following calendar month. Late payments shall accrue interest at a rate of 1.5% per month, in accordance with Turkish commercial law. The client is required to settle all outstanding invoices within 15 business days of receipt.</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pricing may be revised to reflect changes in the Turkey Istanbul labor market, exchange rate fluctuations, or regulatory updates.</w:t>
      </w:r>
    </w:p>
    <w:p>
      <w:pPr>
        <w:pStyle w:val="BodyText"/>
      </w:pPr>
      <w:r>
        <w:rPr>
          <w:bCs/>
          <w:b/>
        </w:rPr>
        <w:t xml:space="preserve">5.2 Confidentiality:</w:t>
      </w:r>
      <w:r>
        <w:t xml:space="preserve"> </w:t>
      </w:r>
      <w:r>
        <w:t xml:space="preserve">The Software Engineer shall be bound by a Non-Disclosure Agreement (NDA) covering all proprietary information, source code, business strategies, and client data encountered during the engagement in Turkey Istanbul.</w:t>
      </w:r>
    </w:p>
    <w:p>
      <w:pPr>
        <w:pStyle w:val="BodyText"/>
      </w:pPr>
      <w:r>
        <w:rPr>
          <w:bCs/>
          <w:b/>
        </w:rPr>
        <w:t xml:space="preserve">5.3 Intellectual Property:</w:t>
      </w:r>
      <w:r>
        <w:t xml:space="preserve"> </w:t>
      </w:r>
      <w:r>
        <w:t xml:space="preserve">All work product, code, documentation, and deliverables created by the Software Engineer during the term of this engagement shall be the exclusive property of the client, as stipulated in the master service agreement.</w:t>
      </w:r>
    </w:p>
    <w:p>
      <w:pPr>
        <w:pStyle w:val="BodyText"/>
      </w:pPr>
      <w:r>
        <w:rPr>
          <w:bCs/>
          <w:b/>
        </w:rPr>
        <w:t xml:space="preserve">5.4 Termination:</w:t>
      </w:r>
      <w:r>
        <w:t xml:space="preserve"> </w:t>
      </w:r>
      <w:r>
        <w:t xml:space="preserve">Either party may terminate the engagement with a written notice of sixty (60) days. In the event of termination, the client shall be liable for all costs incurred up to the effective date of termination as detailed in this Quotation Estimate.</w:t>
      </w:r>
    </w:p>
    <w:p>
      <w:pPr>
        <w:pStyle w:val="BodyText"/>
      </w:pPr>
      <w:r>
        <w:rPr>
          <w:bCs/>
          <w:b/>
        </w:rPr>
        <w:t xml:space="preserve">5.5 Governing Law:</w:t>
      </w:r>
      <w:r>
        <w:t xml:space="preserve"> </w:t>
      </w:r>
      <w:r>
        <w:t xml:space="preserve">This Quotation Estimate and the resulting contract shall be governed by and construed in accordance with the laws of the Republic of Turkey. Any disputes shall be resolved through arbitration in Istanbul, Turkey, in accordance with the rules of the Istanbul Arbitration Center (ISTAC).</w:t>
      </w:r>
    </w:p>
    <w:p>
      <w:pPr>
        <w:pStyle w:val="BodyText"/>
      </w:pPr>
      <w:r>
        <w:rPr>
          <w:bCs/>
          <w:b/>
        </w:rPr>
        <w:t xml:space="preserve">5.6 Force Majeure:</w:t>
      </w:r>
      <w:r>
        <w:t xml:space="preserve"> </w:t>
      </w:r>
      <w:r>
        <w:t xml:space="preserve">Neither party shall be liable for failure to perform obligations due to events beyond reasonable control, including but not limited to natural disasters, government sanctions, or pandemics affecting operations in Turkey Istanbul.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the Software Engineer engagement in Turkey Istanbul. This signature constitutes a binding agreement to proceed with the services as described herein.</w:t>
      </w:r>
    </w:p>
    <w:p>
      <w:pPr>
        <w:pStyle w:val="BodyText"/>
      </w:pPr>
      <w:r>
        <w:rPr>
          <w:bCs/>
          <w:b/>
        </w:rPr>
        <w:t xml:space="preserve">For Meridian Digital Solutions Ltd.</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Digital Solutions Ltd. | Levent Business Center, Büyükdere Caddesi No: 190, 34330 Şişli, Istanbul, Turkey</w:t>
      </w:r>
    </w:p>
    <w:p>
      <w:pPr>
        <w:pStyle w:val="BodyText"/>
      </w:pPr>
      <w:r>
        <w:t xml:space="preserve">Tax ID: 1234567890 | VAT: TR12345678901 | Phone: +90 212 555 0147 | Email: quotations@meridiandigital.com.tr</w:t>
      </w:r>
    </w:p>
    <w:p>
      <w:pPr>
        <w:pStyle w:val="BodyText"/>
      </w:pPr>
      <w:r>
        <w:t xml:space="preserve">This Quotation Estimate is a confidential commercial document intended solely for the named recipient. Unauthorized distribution or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Turkey Istanbul</dc:title>
  <dc:creator/>
  <dc:language>en</dc:language>
  <cp:keywords/>
  <dcterms:created xsi:type="dcterms:W3CDTF">2026-10-10T02:08:55Z</dcterms:created>
  <dcterms:modified xsi:type="dcterms:W3CDTF">2026-10-10T02:08:55Z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