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t xml:space="preserve">Professional Software Engineer Services — United Arab Emirates Dubai</w:t>
      </w:r>
    </w:p>
    <w:p>
      <w:pPr>
        <w:pStyle w:val="BodyText"/>
      </w:pPr>
      <w:r>
        <w:t xml:space="preserve">Document Reference: QE-2025-DXB-0472 | Valid Until: 30 June 2025</w:t>
      </w:r>
    </w:p>
    <w:bookmarkEnd w:id="20"/>
    <w:p>
      <w:pPr>
        <w:pStyle w:val="BodyText"/>
      </w:pPr>
      <w:r>
        <w:rPr>
          <w:bCs/>
          <w:b/>
        </w:rPr>
        <w:t xml:space="preserve">Prepared By:</w:t>
      </w:r>
      <w:r>
        <w:br/>
      </w:r>
      <w:r>
        <w:t xml:space="preserve">TechNova Solutions LLC</w:t>
      </w:r>
      <w:r>
        <w:br/>
      </w:r>
      <w:r>
        <w:t xml:space="preserve">Office 1204, Level 12</w:t>
      </w:r>
      <w:r>
        <w:br/>
      </w:r>
      <w:r>
        <w:t xml:space="preserve">Dubai Internet City, Dubai</w:t>
      </w:r>
      <w:r>
        <w:br/>
      </w:r>
      <w:r>
        <w:t xml:space="preserve">United Arab Emirates</w:t>
      </w:r>
    </w:p>
    <w:p>
      <w:pPr>
        <w:pStyle w:val="BodyText"/>
      </w:pPr>
      <w:r>
        <w:rPr>
          <w:bCs/>
          <w:b/>
        </w:rPr>
        <w:t xml:space="preserve">Prepared For:</w:t>
      </w:r>
      <w:r>
        <w:br/>
      </w:r>
      <w:r>
        <w:t xml:space="preserve">[Client Company Name]</w:t>
      </w:r>
      <w:r>
        <w:br/>
      </w:r>
      <w:r>
        <w:t xml:space="preserve">[Client Address]</w:t>
      </w:r>
      <w:r>
        <w:br/>
      </w:r>
      <w:r>
        <w:t xml:space="preserve">Dubai, United Arab Emirates</w:t>
      </w:r>
      <w:r>
        <w:br/>
      </w:r>
      <w:r>
        <w:t xml:space="preserve">VAT No: [XXXXXXX]</w:t>
      </w:r>
    </w:p>
    <w:p>
      <w:pPr>
        <w:pStyle w:val="BodyText"/>
      </w:pPr>
      <w:r>
        <w:rPr>
          <w:bCs/>
          <w:b/>
        </w:rPr>
        <w:t xml:space="preserve">Quotation Date:</w:t>
      </w:r>
      <w:r>
        <w:br/>
      </w:r>
      <w:r>
        <w:t xml:space="preserve">15 January 2025</w:t>
      </w:r>
      <w:r>
        <w:br/>
      </w:r>
      <w:r>
        <w:br/>
      </w:r>
      <w:r>
        <w:rPr>
          <w:bCs/>
          <w:b/>
        </w:rPr>
        <w:t xml:space="preserve">Estimate Type:</w:t>
      </w:r>
      <w:r>
        <w:br/>
      </w:r>
      <w:r>
        <w:t xml:space="preserve">Professional Services</w:t>
      </w:r>
    </w:p>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TechNova Solutions LLC, a registered technology services provider operating in the</w:t>
      </w:r>
      <w:r>
        <w:t xml:space="preserve"> </w:t>
      </w:r>
      <w:r>
        <w:t xml:space="preserve">United Arab Emirates Dubai</w:t>
      </w:r>
      <w:r>
        <w:t xml:space="preserve"> </w:t>
      </w:r>
      <w:r>
        <w:t xml:space="preserve">free zone, to provide comprehensive</w:t>
      </w:r>
      <w:r>
        <w:t xml:space="preserve"> </w:t>
      </w:r>
      <w:r>
        <w:t xml:space="preserve">Software Engineer</w:t>
      </w:r>
      <w:r>
        <w:t xml:space="preserve"> </w:t>
      </w:r>
      <w:r>
        <w:t xml:space="preserve">professional services to the client. This document outlines the scope of work, deliverables, timeline, and associated costs for the engagement of a senior</w:t>
      </w:r>
      <w:r>
        <w:t xml:space="preserve"> </w:t>
      </w:r>
      <w:r>
        <w:t xml:space="preserve">Software Engineer</w:t>
      </w:r>
      <w:r>
        <w:t xml:space="preserve"> </w:t>
      </w:r>
      <w:r>
        <w:t xml:space="preserve">to design, develop, test, and deploy a custom enterprise application platform. All pricing in this</w:t>
      </w:r>
      <w:r>
        <w:t xml:space="preserve"> </w:t>
      </w:r>
      <w:r>
        <w:t xml:space="preserve">Quotation Estimate</w:t>
      </w:r>
      <w:r>
        <w:t xml:space="preserve"> </w:t>
      </w:r>
      <w:r>
        <w:t xml:space="preserve">is quoted in United Arab Emirates Dirhams (AED) and is subject to the applicable 5% Value Added Tax (VAT) as mandated by the Federal Tax Authority of the United Arab Emirates.</w:t>
      </w:r>
    </w:p>
    <w:bookmarkEnd w:id="21"/>
    <w:bookmarkStart w:id="22" w:name="scope-of-work-software-engineer-services"/>
    <w:p>
      <w:pPr>
        <w:pStyle w:val="Heading2"/>
      </w:pPr>
      <w:r>
        <w:t xml:space="preserve">2. Scope of Work — Software Engineer Services</w:t>
      </w:r>
    </w:p>
    <w:p>
      <w:pPr>
        <w:pStyle w:val="FirstParagraph"/>
      </w:pPr>
      <w:r>
        <w:t xml:space="preserve">The</w:t>
      </w:r>
      <w:r>
        <w:t xml:space="preserve"> </w:t>
      </w:r>
      <w:r>
        <w:t xml:space="preserve">Software Engineer</w:t>
      </w:r>
      <w:r>
        <w:t xml:space="preserve"> </w:t>
      </w:r>
      <w:r>
        <w:t xml:space="preserve">engaged under this</w:t>
      </w:r>
      <w:r>
        <w:t xml:space="preserve"> </w:t>
      </w:r>
      <w:r>
        <w:t xml:space="preserve">Quotation Estimate</w:t>
      </w:r>
      <w:r>
        <w:t xml:space="preserve"> </w:t>
      </w:r>
      <w:r>
        <w:t xml:space="preserve">will be responsible for the following activities within the</w:t>
      </w:r>
      <w:r>
        <w:t xml:space="preserve"> </w:t>
      </w:r>
      <w:r>
        <w:t xml:space="preserve">United Arab Emirates Dubai</w:t>
      </w:r>
      <w:r>
        <w:t xml:space="preserve"> </w:t>
      </w:r>
      <w:r>
        <w:t xml:space="preserve">market context:</w:t>
      </w:r>
    </w:p>
    <w:p>
      <w:pPr>
        <w:numPr>
          <w:ilvl w:val="0"/>
          <w:numId w:val="1001"/>
        </w:numPr>
        <w:pStyle w:val="Compact"/>
      </w:pPr>
      <w:r>
        <w:rPr>
          <w:bCs/>
          <w:b/>
        </w:rPr>
        <w:t xml:space="preserve">Requirements Analysis &amp; System Design:</w:t>
      </w:r>
      <w:r>
        <w:t xml:space="preserve"> </w:t>
      </w:r>
      <w:r>
        <w:t xml:space="preserve">Conducting stakeholder workshops, gathering functional and non-functional requirements, and producing detailed system architecture documentation tailored to the regulatory and business environment of the United Arab Emirates Dubai.</w:t>
      </w:r>
    </w:p>
    <w:p>
      <w:pPr>
        <w:numPr>
          <w:ilvl w:val="0"/>
          <w:numId w:val="1001"/>
        </w:numPr>
        <w:pStyle w:val="Compact"/>
      </w:pPr>
      <w:r>
        <w:rPr>
          <w:bCs/>
          <w:b/>
        </w:rPr>
        <w:t xml:space="preserve">Application Development:</w:t>
      </w:r>
      <w:r>
        <w:t xml:space="preserve"> </w:t>
      </w:r>
      <w:r>
        <w:t xml:space="preserve">Designing and coding a full-stack web application using modern frameworks (React.js, Node.js, Python/Django) with a microservices architecture, ensuring scalability and compliance with UAE data protection regulations.</w:t>
      </w:r>
    </w:p>
    <w:p>
      <w:pPr>
        <w:numPr>
          <w:ilvl w:val="0"/>
          <w:numId w:val="1001"/>
        </w:numPr>
        <w:pStyle w:val="Compact"/>
      </w:pPr>
      <w:r>
        <w:rPr>
          <w:bCs/>
          <w:b/>
        </w:rPr>
        <w:t xml:space="preserve">Database Architecture:</w:t>
      </w:r>
      <w:r>
        <w:t xml:space="preserve"> </w:t>
      </w:r>
      <w:r>
        <w:t xml:space="preserve">Designing and implementing a relational and NoSQL database solution (PostgreSQL, MongoDB) with appropriate indexing, replication, and backup strategies.</w:t>
      </w:r>
    </w:p>
    <w:p>
      <w:pPr>
        <w:numPr>
          <w:ilvl w:val="0"/>
          <w:numId w:val="1001"/>
        </w:numPr>
        <w:pStyle w:val="Compact"/>
      </w:pPr>
      <w:r>
        <w:rPr>
          <w:bCs/>
          <w:b/>
        </w:rPr>
        <w:t xml:space="preserve">API Development &amp; Integration:</w:t>
      </w:r>
      <w:r>
        <w:t xml:space="preserve"> </w:t>
      </w:r>
      <w:r>
        <w:t xml:space="preserve">Building RESTful and GraphQL APIs, integrating with third-party payment gateways (including UAE-specific providers such as Telr, Network International, and PayTabs), and ensuring seamless connectivity with existing client systems.</w:t>
      </w:r>
    </w:p>
    <w:p>
      <w:pPr>
        <w:numPr>
          <w:ilvl w:val="0"/>
          <w:numId w:val="1001"/>
        </w:numPr>
        <w:pStyle w:val="Compact"/>
      </w:pPr>
      <w:r>
        <w:rPr>
          <w:bCs/>
          <w:b/>
        </w:rPr>
        <w:t xml:space="preserve">Quality Assurance &amp; Testing:</w:t>
      </w:r>
      <w:r>
        <w:t xml:space="preserve"> </w:t>
      </w:r>
      <w:r>
        <w:t xml:space="preserve">Performing unit testing, integration testing, performance testing, and security penetration testing to ensure the software meets industry standards and UAE cybersecurity directives.</w:t>
      </w:r>
    </w:p>
    <w:p>
      <w:pPr>
        <w:numPr>
          <w:ilvl w:val="0"/>
          <w:numId w:val="1001"/>
        </w:numPr>
        <w:pStyle w:val="Compact"/>
      </w:pPr>
      <w:r>
        <w:rPr>
          <w:bCs/>
          <w:b/>
        </w:rPr>
        <w:t xml:space="preserve">Deployment &amp; DevOps:</w:t>
      </w:r>
      <w:r>
        <w:t xml:space="preserve"> </w:t>
      </w:r>
      <w:r>
        <w:t xml:space="preserve">Configuring CI/CD pipelines, containerizing applications using Docker and Kubernetes, and deploying to cloud infrastructure (AWS Middle East – Bahrain region or Azure UAE North) for optimal latency serving the United Arab Emirates Dubai user base.</w:t>
      </w:r>
    </w:p>
    <w:p>
      <w:pPr>
        <w:numPr>
          <w:ilvl w:val="0"/>
          <w:numId w:val="1001"/>
        </w:numPr>
        <w:pStyle w:val="Compact"/>
      </w:pPr>
      <w:r>
        <w:rPr>
          <w:bCs/>
          <w:b/>
        </w:rPr>
        <w:t xml:space="preserve">Documentation &amp; Knowledge Transfer:</w:t>
      </w:r>
      <w:r>
        <w:t xml:space="preserve"> </w:t>
      </w:r>
      <w:r>
        <w:t xml:space="preserve">Producing comprehensive technical documentation, user manuals, and conducting training sessions for the client's internal IT team in Dubai.</w:t>
      </w:r>
    </w:p>
    <w:p>
      <w:pPr>
        <w:numPr>
          <w:ilvl w:val="0"/>
          <w:numId w:val="1001"/>
        </w:numPr>
        <w:pStyle w:val="Compact"/>
      </w:pPr>
      <w:r>
        <w:rPr>
          <w:bCs/>
          <w:b/>
        </w:rPr>
        <w:t xml:space="preserve">Post-Deployment Support:</w:t>
      </w:r>
      <w:r>
        <w:t xml:space="preserve"> </w:t>
      </w:r>
      <w:r>
        <w:t xml:space="preserve">Providing a 90-day warranty period with bug fixes, performance monitoring, and minor enhancements following the go-live date.</w:t>
      </w:r>
    </w:p>
    <w:bookmarkEnd w:id="22"/>
    <w:bookmarkStart w:id="23" w:name="project-timeline"/>
    <w:p>
      <w:pPr>
        <w:pStyle w:val="Heading2"/>
      </w:pPr>
      <w:r>
        <w:t xml:space="preserve">3. Project Timeline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c>
          <w:tcPr/>
          <w:p>
            <w:pPr>
              <w:pStyle w:val="Compact"/>
              <w:jc w:val="left"/>
            </w:pPr>
            <w:r>
              <w:t xml:space="preserve">Estimated Start</w:t>
            </w:r>
          </w:p>
        </w:tc>
        <w:tc>
          <w:tcPr/>
          <w:p>
            <w:pPr>
              <w:pStyle w:val="Compact"/>
              <w:jc w:val="left"/>
            </w:pPr>
            <w:r>
              <w:t xml:space="preserve">Estimated End</w:t>
            </w:r>
          </w:p>
        </w:tc>
      </w:tr>
      <w:tr>
        <w:tc>
          <w:tcPr/>
          <w:p>
            <w:pPr>
              <w:pStyle w:val="Compact"/>
              <w:jc w:val="left"/>
            </w:pPr>
            <w:r>
              <w:t xml:space="preserve">Phase 1</w:t>
            </w:r>
          </w:p>
        </w:tc>
        <w:tc>
          <w:tcPr/>
          <w:p>
            <w:pPr>
              <w:pStyle w:val="Compact"/>
              <w:jc w:val="left"/>
            </w:pPr>
            <w:r>
              <w:t xml:space="preserve">Requirements Gathering &amp; System Design</w:t>
            </w:r>
          </w:p>
        </w:tc>
        <w:tc>
          <w:tcPr/>
          <w:p>
            <w:pPr>
              <w:pStyle w:val="Compact"/>
              <w:jc w:val="left"/>
            </w:pPr>
            <w:r>
              <w:t xml:space="preserve">3 Weeks</w:t>
            </w:r>
          </w:p>
        </w:tc>
        <w:tc>
          <w:tcPr/>
          <w:p>
            <w:pPr>
              <w:pStyle w:val="Compact"/>
              <w:jc w:val="left"/>
            </w:pPr>
            <w:r>
              <w:t xml:space="preserve">01 Feb 2025</w:t>
            </w:r>
          </w:p>
        </w:tc>
        <w:tc>
          <w:tcPr/>
          <w:p>
            <w:pPr>
              <w:pStyle w:val="Compact"/>
              <w:jc w:val="left"/>
            </w:pPr>
            <w:r>
              <w:t xml:space="preserve">21 Feb 2025</w:t>
            </w:r>
          </w:p>
        </w:tc>
      </w:tr>
      <w:tr>
        <w:tc>
          <w:tcPr/>
          <w:p>
            <w:pPr>
              <w:pStyle w:val="Compact"/>
              <w:jc w:val="left"/>
            </w:pPr>
            <w:r>
              <w:t xml:space="preserve">Phase 2</w:t>
            </w:r>
          </w:p>
        </w:tc>
        <w:tc>
          <w:tcPr/>
          <w:p>
            <w:pPr>
              <w:pStyle w:val="Compact"/>
              <w:jc w:val="left"/>
            </w:pPr>
            <w:r>
              <w:t xml:space="preserve">Core Development &amp; Database Setup</w:t>
            </w:r>
          </w:p>
        </w:tc>
        <w:tc>
          <w:tcPr/>
          <w:p>
            <w:pPr>
              <w:pStyle w:val="Compact"/>
              <w:jc w:val="left"/>
            </w:pPr>
            <w:r>
              <w:t xml:space="preserve">8 Weeks</w:t>
            </w:r>
          </w:p>
        </w:tc>
        <w:tc>
          <w:tcPr/>
          <w:p>
            <w:pPr>
              <w:pStyle w:val="Compact"/>
              <w:jc w:val="left"/>
            </w:pPr>
            <w:r>
              <w:t xml:space="preserve">24 Feb 2025</w:t>
            </w:r>
          </w:p>
        </w:tc>
        <w:tc>
          <w:tcPr/>
          <w:p>
            <w:pPr>
              <w:pStyle w:val="Compact"/>
              <w:jc w:val="left"/>
            </w:pPr>
            <w:r>
              <w:t xml:space="preserve">18 Apr 2025</w:t>
            </w:r>
          </w:p>
        </w:tc>
      </w:tr>
      <w:tr>
        <w:tc>
          <w:tcPr/>
          <w:p>
            <w:pPr>
              <w:pStyle w:val="Compact"/>
              <w:jc w:val="left"/>
            </w:pPr>
            <w:r>
              <w:t xml:space="preserve">Phase 3</w:t>
            </w:r>
          </w:p>
        </w:tc>
        <w:tc>
          <w:tcPr/>
          <w:p>
            <w:pPr>
              <w:pStyle w:val="Compact"/>
              <w:jc w:val="left"/>
            </w:pPr>
            <w:r>
              <w:t xml:space="preserve">API Integration &amp; Third-Party Connectivity</w:t>
            </w:r>
          </w:p>
        </w:tc>
        <w:tc>
          <w:tcPr/>
          <w:p>
            <w:pPr>
              <w:pStyle w:val="Compact"/>
              <w:jc w:val="left"/>
            </w:pPr>
            <w:r>
              <w:t xml:space="preserve">4 Weeks</w:t>
            </w:r>
          </w:p>
        </w:tc>
        <w:tc>
          <w:tcPr/>
          <w:p>
            <w:pPr>
              <w:pStyle w:val="Compact"/>
              <w:jc w:val="left"/>
            </w:pPr>
            <w:r>
              <w:t xml:space="preserve">21 Apr 2025</w:t>
            </w:r>
          </w:p>
        </w:tc>
        <w:tc>
          <w:tcPr/>
          <w:p>
            <w:pPr>
              <w:pStyle w:val="Compact"/>
              <w:jc w:val="left"/>
            </w:pPr>
            <w:r>
              <w:t xml:space="preserve">16 May 2025</w:t>
            </w:r>
          </w:p>
        </w:tc>
      </w:tr>
      <w:tr>
        <w:tc>
          <w:tcPr/>
          <w:p>
            <w:pPr>
              <w:pStyle w:val="Compact"/>
              <w:jc w:val="left"/>
            </w:pPr>
            <w:r>
              <w:t xml:space="preserve">Phase 4</w:t>
            </w:r>
          </w:p>
        </w:tc>
        <w:tc>
          <w:tcPr/>
          <w:p>
            <w:pPr>
              <w:pStyle w:val="Compact"/>
              <w:jc w:val="left"/>
            </w:pPr>
            <w:r>
              <w:t xml:space="preserve">Testing, Security Audit &amp; UAT</w:t>
            </w:r>
          </w:p>
        </w:tc>
        <w:tc>
          <w:tcPr/>
          <w:p>
            <w:pPr>
              <w:pStyle w:val="Compact"/>
              <w:jc w:val="left"/>
            </w:pPr>
            <w:r>
              <w:t xml:space="preserve">3 Weeks</w:t>
            </w:r>
          </w:p>
        </w:tc>
        <w:tc>
          <w:tcPr/>
          <w:p>
            <w:pPr>
              <w:pStyle w:val="Compact"/>
              <w:jc w:val="left"/>
            </w:pPr>
            <w:r>
              <w:t xml:space="preserve">19 May 2025</w:t>
            </w:r>
          </w:p>
        </w:tc>
        <w:tc>
          <w:tcPr/>
          <w:p>
            <w:pPr>
              <w:pStyle w:val="Compact"/>
              <w:jc w:val="left"/>
            </w:pPr>
            <w:r>
              <w:t xml:space="preserve">08 Jun 2025</w:t>
            </w:r>
          </w:p>
        </w:tc>
      </w:tr>
      <w:tr>
        <w:tc>
          <w:tcPr/>
          <w:p>
            <w:pPr>
              <w:pStyle w:val="Compact"/>
              <w:jc w:val="left"/>
            </w:pPr>
            <w:r>
              <w:t xml:space="preserve">Phase 5</w:t>
            </w:r>
          </w:p>
        </w:tc>
        <w:tc>
          <w:tcPr/>
          <w:p>
            <w:pPr>
              <w:pStyle w:val="Compact"/>
              <w:jc w:val="left"/>
            </w:pPr>
            <w:r>
              <w:t xml:space="preserve">Deployment, Training &amp; Handover</w:t>
            </w:r>
          </w:p>
        </w:tc>
        <w:tc>
          <w:tcPr/>
          <w:p>
            <w:pPr>
              <w:pStyle w:val="Compact"/>
              <w:jc w:val="left"/>
            </w:pPr>
            <w:r>
              <w:t xml:space="preserve">2 Weeks</w:t>
            </w:r>
          </w:p>
        </w:tc>
        <w:tc>
          <w:tcPr/>
          <w:p>
            <w:pPr>
              <w:pStyle w:val="Compact"/>
              <w:jc w:val="left"/>
            </w:pPr>
            <w:r>
              <w:t xml:space="preserve">09 Jun 2025</w:t>
            </w:r>
          </w:p>
        </w:tc>
        <w:tc>
          <w:tcPr/>
          <w:p>
            <w:pPr>
              <w:pStyle w:val="Compact"/>
              <w:jc w:val="left"/>
            </w:pPr>
            <w:r>
              <w:t xml:space="preserve">22 Jun 2025</w:t>
            </w:r>
          </w:p>
        </w:tc>
      </w:tr>
      <w:tr>
        <w:tc>
          <w:tcPr/>
          <w:p>
            <w:pPr>
              <w:pStyle w:val="Compact"/>
              <w:jc w:val="left"/>
            </w:pPr>
            <w:r>
              <w:t xml:space="preserve">Phase 6</w:t>
            </w:r>
          </w:p>
        </w:tc>
        <w:tc>
          <w:tcPr/>
          <w:p>
            <w:pPr>
              <w:pStyle w:val="Compact"/>
              <w:jc w:val="left"/>
            </w:pPr>
            <w:r>
              <w:t xml:space="preserve">Post-Deployment Support (Warranty)</w:t>
            </w:r>
          </w:p>
        </w:tc>
        <w:tc>
          <w:tcPr/>
          <w:p>
            <w:pPr>
              <w:pStyle w:val="Compact"/>
              <w:jc w:val="left"/>
            </w:pPr>
            <w:r>
              <w:t xml:space="preserve">3 Months</w:t>
            </w:r>
          </w:p>
        </w:tc>
        <w:tc>
          <w:tcPr/>
          <w:p>
            <w:pPr>
              <w:pStyle w:val="Compact"/>
              <w:jc w:val="left"/>
            </w:pPr>
            <w:r>
              <w:t xml:space="preserve">23 Jun 2025</w:t>
            </w:r>
          </w:p>
        </w:tc>
        <w:tc>
          <w:tcPr/>
          <w:p>
            <w:pPr>
              <w:pStyle w:val="Compact"/>
              <w:jc w:val="left"/>
            </w:pPr>
            <w:r>
              <w:t xml:space="preserve">22 Sep 2025</w:t>
            </w:r>
          </w:p>
        </w:tc>
      </w:tr>
    </w:tbl>
    <w:bookmarkEnd w:id="23"/>
    <w:bookmarkStart w:id="24" w:name="financial-breakdown-quotation-estimate"/>
    <w:p>
      <w:pPr>
        <w:pStyle w:val="Heading2"/>
      </w:pPr>
      <w:r>
        <w:t xml:space="preserve">4. Financial Breakdown —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Senior Software Engineer — Requirements &amp; Design</w:t>
            </w:r>
          </w:p>
        </w:tc>
        <w:tc>
          <w:tcPr/>
          <w:p>
            <w:pPr>
              <w:pStyle w:val="Compact"/>
              <w:jc w:val="left"/>
            </w:pPr>
            <w:r>
              <w:t xml:space="preserve">Man-Hour</w:t>
            </w:r>
          </w:p>
        </w:tc>
        <w:tc>
          <w:tcPr/>
          <w:p>
            <w:pPr>
              <w:pStyle w:val="Compact"/>
              <w:jc w:val="left"/>
            </w:pPr>
            <w:r>
              <w:t xml:space="preserve">120</w:t>
            </w:r>
          </w:p>
        </w:tc>
        <w:tc>
          <w:tcPr/>
          <w:p>
            <w:pPr>
              <w:pStyle w:val="Compact"/>
              <w:jc w:val="left"/>
            </w:pPr>
            <w:r>
              <w:t xml:space="preserve">450</w:t>
            </w:r>
          </w:p>
        </w:tc>
        <w:tc>
          <w:tcPr/>
          <w:p>
            <w:pPr>
              <w:pStyle w:val="Compact"/>
              <w:jc w:val="left"/>
            </w:pPr>
            <w:r>
              <w:t xml:space="preserve">54,000</w:t>
            </w:r>
          </w:p>
        </w:tc>
      </w:tr>
      <w:tr>
        <w:tc>
          <w:tcPr/>
          <w:p>
            <w:pPr>
              <w:pStyle w:val="Compact"/>
              <w:jc w:val="left"/>
            </w:pPr>
            <w:r>
              <w:t xml:space="preserve">02</w:t>
            </w:r>
          </w:p>
        </w:tc>
        <w:tc>
          <w:tcPr/>
          <w:p>
            <w:pPr>
              <w:pStyle w:val="Compact"/>
              <w:jc w:val="left"/>
            </w:pPr>
            <w:r>
              <w:t xml:space="preserve">Senior Software Engineer — Core Development</w:t>
            </w:r>
          </w:p>
        </w:tc>
        <w:tc>
          <w:tcPr/>
          <w:p>
            <w:pPr>
              <w:pStyle w:val="Compact"/>
              <w:jc w:val="left"/>
            </w:pPr>
            <w:r>
              <w:t xml:space="preserve">Man-Hour</w:t>
            </w:r>
          </w:p>
        </w:tc>
        <w:tc>
          <w:tcPr/>
          <w:p>
            <w:pPr>
              <w:pStyle w:val="Compact"/>
              <w:jc w:val="left"/>
            </w:pPr>
            <w:r>
              <w:t xml:space="preserve">480</w:t>
            </w:r>
          </w:p>
        </w:tc>
        <w:tc>
          <w:tcPr/>
          <w:p>
            <w:pPr>
              <w:pStyle w:val="Compact"/>
              <w:jc w:val="left"/>
            </w:pPr>
            <w:r>
              <w:t xml:space="preserve">450</w:t>
            </w:r>
          </w:p>
        </w:tc>
        <w:tc>
          <w:tcPr/>
          <w:p>
            <w:pPr>
              <w:pStyle w:val="Compact"/>
              <w:jc w:val="left"/>
            </w:pPr>
            <w:r>
              <w:t xml:space="preserve">216,000</w:t>
            </w:r>
          </w:p>
        </w:tc>
      </w:tr>
      <w:tr>
        <w:tc>
          <w:tcPr/>
          <w:p>
            <w:pPr>
              <w:pStyle w:val="Compact"/>
              <w:jc w:val="left"/>
            </w:pPr>
            <w:r>
              <w:t xml:space="preserve">03</w:t>
            </w:r>
          </w:p>
        </w:tc>
        <w:tc>
          <w:tcPr/>
          <w:p>
            <w:pPr>
              <w:pStyle w:val="Compact"/>
              <w:jc w:val="left"/>
            </w:pPr>
            <w:r>
              <w:t xml:space="preserve">Software Engineer — API &amp; Integration Work</w:t>
            </w:r>
          </w:p>
        </w:tc>
        <w:tc>
          <w:tcPr/>
          <w:p>
            <w:pPr>
              <w:pStyle w:val="Compact"/>
              <w:jc w:val="left"/>
            </w:pPr>
            <w:r>
              <w:t xml:space="preserve">Man-Hour</w:t>
            </w:r>
          </w:p>
        </w:tc>
        <w:tc>
          <w:tcPr/>
          <w:p>
            <w:pPr>
              <w:pStyle w:val="Compact"/>
              <w:jc w:val="left"/>
            </w:pPr>
            <w:r>
              <w:t xml:space="preserve">240</w:t>
            </w:r>
          </w:p>
        </w:tc>
        <w:tc>
          <w:tcPr/>
          <w:p>
            <w:pPr>
              <w:pStyle w:val="Compact"/>
              <w:jc w:val="left"/>
            </w:pPr>
            <w:r>
              <w:t xml:space="preserve">450</w:t>
            </w:r>
          </w:p>
        </w:tc>
        <w:tc>
          <w:tcPr/>
          <w:p>
            <w:pPr>
              <w:pStyle w:val="Compact"/>
              <w:jc w:val="left"/>
            </w:pPr>
            <w:r>
              <w:t xml:space="preserve">108,000</w:t>
            </w:r>
          </w:p>
        </w:tc>
      </w:tr>
      <w:tr>
        <w:tc>
          <w:tcPr/>
          <w:p>
            <w:pPr>
              <w:pStyle w:val="Compact"/>
              <w:jc w:val="left"/>
            </w:pPr>
            <w:r>
              <w:t xml:space="preserve">04</w:t>
            </w:r>
          </w:p>
        </w:tc>
        <w:tc>
          <w:tcPr/>
          <w:p>
            <w:pPr>
              <w:pStyle w:val="Compact"/>
              <w:jc w:val="left"/>
            </w:pPr>
            <w:r>
              <w:t xml:space="preserve">Software Engineer — QA, Testing &amp; Security</w:t>
            </w:r>
          </w:p>
        </w:tc>
        <w:tc>
          <w:tcPr/>
          <w:p>
            <w:pPr>
              <w:pStyle w:val="Compact"/>
              <w:jc w:val="left"/>
            </w:pPr>
            <w:r>
              <w:t xml:space="preserve">Man-Hour</w:t>
            </w:r>
          </w:p>
        </w:tc>
        <w:tc>
          <w:tcPr/>
          <w:p>
            <w:pPr>
              <w:pStyle w:val="Compact"/>
              <w:jc w:val="left"/>
            </w:pPr>
            <w:r>
              <w:t xml:space="preserve">180</w:t>
            </w:r>
          </w:p>
        </w:tc>
        <w:tc>
          <w:tcPr/>
          <w:p>
            <w:pPr>
              <w:pStyle w:val="Compact"/>
              <w:jc w:val="left"/>
            </w:pPr>
            <w:r>
              <w:t xml:space="preserve">450</w:t>
            </w:r>
          </w:p>
        </w:tc>
        <w:tc>
          <w:tcPr/>
          <w:p>
            <w:pPr>
              <w:pStyle w:val="Compact"/>
              <w:jc w:val="left"/>
            </w:pPr>
            <w:r>
              <w:t xml:space="preserve">81,000</w:t>
            </w:r>
          </w:p>
        </w:tc>
      </w:tr>
      <w:tr>
        <w:tc>
          <w:tcPr/>
          <w:p>
            <w:pPr>
              <w:pStyle w:val="Compact"/>
              <w:jc w:val="left"/>
            </w:pPr>
            <w:r>
              <w:t xml:space="preserve">05</w:t>
            </w:r>
          </w:p>
        </w:tc>
        <w:tc>
          <w:tcPr/>
          <w:p>
            <w:pPr>
              <w:pStyle w:val="Compact"/>
              <w:jc w:val="left"/>
            </w:pPr>
            <w:r>
              <w:t xml:space="preserve">DevOps &amp; Cloud Infrastructure Setup</w:t>
            </w:r>
          </w:p>
        </w:tc>
        <w:tc>
          <w:tcPr/>
          <w:p>
            <w:pPr>
              <w:pStyle w:val="Compact"/>
              <w:jc w:val="left"/>
            </w:pPr>
            <w:r>
              <w:t xml:space="preserve">Man-Hour</w:t>
            </w:r>
          </w:p>
        </w:tc>
        <w:tc>
          <w:tcPr/>
          <w:p>
            <w:pPr>
              <w:pStyle w:val="Compact"/>
              <w:jc w:val="left"/>
            </w:pPr>
            <w:r>
              <w:t xml:space="preserve">96</w:t>
            </w:r>
          </w:p>
        </w:tc>
        <w:tc>
          <w:tcPr/>
          <w:p>
            <w:pPr>
              <w:pStyle w:val="Compact"/>
              <w:jc w:val="left"/>
            </w:pPr>
            <w:r>
              <w:t xml:space="preserve">500</w:t>
            </w:r>
          </w:p>
        </w:tc>
        <w:tc>
          <w:tcPr/>
          <w:p>
            <w:pPr>
              <w:pStyle w:val="Compact"/>
              <w:jc w:val="left"/>
            </w:pPr>
            <w:r>
              <w:t xml:space="preserve">48,000</w:t>
            </w:r>
          </w:p>
        </w:tc>
      </w:tr>
      <w:tr>
        <w:tc>
          <w:tcPr/>
          <w:p>
            <w:pPr>
              <w:pStyle w:val="Compact"/>
              <w:jc w:val="left"/>
            </w:pPr>
            <w:r>
              <w:t xml:space="preserve">06</w:t>
            </w:r>
          </w:p>
        </w:tc>
        <w:tc>
          <w:tcPr/>
          <w:p>
            <w:pPr>
              <w:pStyle w:val="Compact"/>
              <w:jc w:val="left"/>
            </w:pPr>
            <w:r>
              <w:t xml:space="preserve">Documentation &amp; Knowledge Transfer Sessions</w:t>
            </w:r>
          </w:p>
        </w:tc>
        <w:tc>
          <w:tcPr/>
          <w:p>
            <w:pPr>
              <w:pStyle w:val="Compact"/>
              <w:jc w:val="left"/>
            </w:pPr>
            <w:r>
              <w:t xml:space="preserve">Session</w:t>
            </w:r>
          </w:p>
        </w:tc>
        <w:tc>
          <w:tcPr/>
          <w:p>
            <w:pPr>
              <w:pStyle w:val="Compact"/>
              <w:jc w:val="left"/>
            </w:pPr>
            <w:r>
              <w:t xml:space="preserve">6</w:t>
            </w:r>
          </w:p>
        </w:tc>
        <w:tc>
          <w:tcPr/>
          <w:p>
            <w:pPr>
              <w:pStyle w:val="Compact"/>
              <w:jc w:val="left"/>
            </w:pPr>
            <w:r>
              <w:t xml:space="preserve">3,500</w:t>
            </w:r>
          </w:p>
        </w:tc>
        <w:tc>
          <w:tcPr/>
          <w:p>
            <w:pPr>
              <w:pStyle w:val="Compact"/>
              <w:jc w:val="left"/>
            </w:pPr>
            <w:r>
              <w:t xml:space="preserve">21,000</w:t>
            </w:r>
          </w:p>
        </w:tc>
      </w:tr>
      <w:tr>
        <w:tc>
          <w:tcPr/>
          <w:p>
            <w:pPr>
              <w:pStyle w:val="Compact"/>
              <w:jc w:val="left"/>
            </w:pPr>
            <w:r>
              <w:t xml:space="preserve">07</w:t>
            </w:r>
          </w:p>
        </w:tc>
        <w:tc>
          <w:tcPr/>
          <w:p>
            <w:pPr>
              <w:pStyle w:val="Compact"/>
              <w:jc w:val="left"/>
            </w:pPr>
            <w:r>
              <w:t xml:space="preserve">Post-Deployment Support &amp; Warranty (90 Days)</w:t>
            </w:r>
          </w:p>
        </w:tc>
        <w:tc>
          <w:tcPr/>
          <w:p>
            <w:pPr>
              <w:pStyle w:val="Compact"/>
              <w:jc w:val="left"/>
            </w:pPr>
            <w:r>
              <w:t xml:space="preserve">Month</w:t>
            </w:r>
          </w:p>
        </w:tc>
        <w:tc>
          <w:tcPr/>
          <w:p>
            <w:pPr>
              <w:pStyle w:val="Compact"/>
              <w:jc w:val="left"/>
            </w:pPr>
            <w:r>
              <w:t xml:space="preserve">3</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08</w:t>
            </w:r>
          </w:p>
        </w:tc>
        <w:tc>
          <w:tcPr/>
          <w:p>
            <w:pPr>
              <w:pStyle w:val="Compact"/>
              <w:jc w:val="left"/>
            </w:pPr>
            <w:r>
              <w:t xml:space="preserve">Project Management &amp; Coordination (UAE Dubai Office)</w:t>
            </w:r>
          </w:p>
        </w:tc>
        <w:tc>
          <w:tcPr/>
          <w:p>
            <w:pPr>
              <w:pStyle w:val="Compact"/>
              <w:jc w:val="left"/>
            </w:pPr>
            <w:r>
              <w:t xml:space="preserve">Month</w:t>
            </w:r>
          </w:p>
        </w:tc>
        <w:tc>
          <w:tcPr/>
          <w:p>
            <w:pPr>
              <w:pStyle w:val="Compact"/>
              <w:jc w:val="left"/>
            </w:pPr>
            <w:r>
              <w:t xml:space="preserve">5</w:t>
            </w:r>
          </w:p>
        </w:tc>
        <w:tc>
          <w:tcPr/>
          <w:p>
            <w:pPr>
              <w:pStyle w:val="Compact"/>
              <w:jc w:val="left"/>
            </w:pPr>
            <w:r>
              <w:t xml:space="preserve">8,000</w:t>
            </w:r>
          </w:p>
        </w:tc>
        <w:tc>
          <w:tcPr/>
          <w:p>
            <w:pPr>
              <w:pStyle w:val="Compact"/>
              <w:jc w:val="left"/>
            </w:pPr>
            <w:r>
              <w:t xml:space="preserve">40,000</w:t>
            </w:r>
          </w:p>
        </w:tc>
      </w:tr>
      <w:tr>
        <w:tc>
          <w:tcPr>
            <w:gridSpan w:val="5"/>
          </w:tcPr>
          <w:p>
            <w:pPr>
              <w:pStyle w:val="Compact"/>
              <w:jc w:val="left"/>
            </w:pPr>
            <w:r>
              <w:t xml:space="preserve">Subtotal</w:t>
            </w:r>
          </w:p>
        </w:tc>
        <w:tc>
          <w:tcPr/>
          <w:p>
            <w:pPr>
              <w:pStyle w:val="Compact"/>
              <w:jc w:val="left"/>
            </w:pPr>
            <w:r>
              <w:t xml:space="preserve">604,000</w:t>
            </w:r>
          </w:p>
        </w:tc>
      </w:tr>
      <w:tr>
        <w:tc>
          <w:tcPr>
            <w:gridSpan w:val="5"/>
          </w:tcPr>
          <w:p>
            <w:pPr>
              <w:pStyle w:val="Compact"/>
              <w:jc w:val="left"/>
            </w:pPr>
            <w:r>
              <w:t xml:space="preserve">VAT @ 5% (United Arab Emirates)</w:t>
            </w:r>
          </w:p>
        </w:tc>
        <w:tc>
          <w:tcPr/>
          <w:p>
            <w:pPr>
              <w:pStyle w:val="Compact"/>
              <w:jc w:val="left"/>
            </w:pPr>
            <w:r>
              <w:t xml:space="preserve">30,200</w:t>
            </w:r>
          </w:p>
        </w:tc>
      </w:tr>
      <w:tr>
        <w:tc>
          <w:tcPr>
            <w:gridSpan w:val="5"/>
          </w:tcPr>
          <w:p>
            <w:pPr>
              <w:pStyle w:val="Compact"/>
              <w:jc w:val="left"/>
            </w:pPr>
            <w:r>
              <w:t xml:space="preserve">TOTAL ESTIMATED COST (AED)</w:t>
            </w:r>
          </w:p>
        </w:tc>
        <w:tc>
          <w:tcPr/>
          <w:p>
            <w:pPr>
              <w:pStyle w:val="Compact"/>
              <w:jc w:val="left"/>
            </w:pPr>
            <w:r>
              <w:t xml:space="preserve">634,200</w:t>
            </w:r>
          </w:p>
        </w:tc>
      </w:tr>
    </w:tbl>
    <w:bookmarkEnd w:id="24"/>
    <w:bookmarkStart w:id="25" w:name="payment-terms"/>
    <w:p>
      <w:pPr>
        <w:pStyle w:val="Heading2"/>
      </w:pPr>
      <w:r>
        <w:t xml:space="preserve">5. Payment Terms</w:t>
      </w:r>
    </w:p>
    <w:p>
      <w:pPr>
        <w:numPr>
          <w:ilvl w:val="0"/>
          <w:numId w:val="1002"/>
        </w:numPr>
        <w:pStyle w:val="Compact"/>
      </w:pPr>
      <w:r>
        <w:rPr>
          <w:bCs/>
          <w:b/>
        </w:rPr>
        <w:t xml:space="preserve">Advance Payment:</w:t>
      </w:r>
      <w:r>
        <w:t xml:space="preserve"> </w:t>
      </w:r>
      <w:r>
        <w:t xml:space="preserve">30% of the total Quotation Estimate amount (AED 190,260) due upon signing of the service agreement.</w:t>
      </w:r>
    </w:p>
    <w:p>
      <w:pPr>
        <w:numPr>
          <w:ilvl w:val="0"/>
          <w:numId w:val="1002"/>
        </w:numPr>
        <w:pStyle w:val="Compact"/>
      </w:pPr>
      <w:r>
        <w:rPr>
          <w:bCs/>
          <w:b/>
        </w:rPr>
        <w:t xml:space="preserve">Milestone Payment 1:</w:t>
      </w:r>
      <w:r>
        <w:t xml:space="preserve"> </w:t>
      </w:r>
      <w:r>
        <w:t xml:space="preserve">25% (AED 158,550) due upon completion of Phase 2 (Core Development).</w:t>
      </w:r>
    </w:p>
    <w:p>
      <w:pPr>
        <w:numPr>
          <w:ilvl w:val="0"/>
          <w:numId w:val="1002"/>
        </w:numPr>
        <w:pStyle w:val="Compact"/>
      </w:pPr>
      <w:r>
        <w:rPr>
          <w:bCs/>
          <w:b/>
        </w:rPr>
        <w:t xml:space="preserve">Milestone Payment 2:</w:t>
      </w:r>
      <w:r>
        <w:t xml:space="preserve"> </w:t>
      </w:r>
      <w:r>
        <w:t xml:space="preserve">25% (AED 158,550) due upon completion of Phase 4 (Testing &amp; UAT sign-off).</w:t>
      </w:r>
    </w:p>
    <w:p>
      <w:pPr>
        <w:numPr>
          <w:ilvl w:val="0"/>
          <w:numId w:val="1002"/>
        </w:numPr>
        <w:pStyle w:val="Compact"/>
      </w:pPr>
      <w:r>
        <w:rPr>
          <w:bCs/>
          <w:b/>
        </w:rPr>
        <w:t xml:space="preserve">Final Payment:</w:t>
      </w:r>
      <w:r>
        <w:t xml:space="preserve"> </w:t>
      </w:r>
      <w:r>
        <w:t xml:space="preserve">20% (AED 126,840) due upon successful deployment and handover in Phase 5.</w:t>
      </w:r>
    </w:p>
    <w:p>
      <w:pPr>
        <w:numPr>
          <w:ilvl w:val="0"/>
          <w:numId w:val="1002"/>
        </w:numPr>
        <w:pStyle w:val="Compact"/>
      </w:pPr>
      <w:r>
        <w:t xml:space="preserve">All payments shall be made via bank transfer to the designated account of TechNova Solutions LLC, Dubai, United Arab Emirates. Invoices will be issued in AED and are payable within 14 calendar days of receipt.</w:t>
      </w:r>
    </w:p>
    <w:bookmarkEnd w:id="25"/>
    <w:bookmarkStart w:id="26" w:name="terms-conditions"/>
    <w:p>
      <w:pPr>
        <w:pStyle w:val="Heading2"/>
      </w:pPr>
      <w:r>
        <w:t xml:space="preserve">6. Terms &amp; Conditions</w:t>
      </w:r>
    </w:p>
    <w:p>
      <w:pPr>
        <w:numPr>
          <w:ilvl w:val="0"/>
          <w:numId w:val="1003"/>
        </w:numPr>
        <w:pStyle w:val="Compact"/>
      </w:pPr>
      <w:r>
        <w:t xml:space="preserve">This Quotation Estimate is valid for a period of 30 calendar days from the date of issue. Beyond this period, pricing may be subject to revision due to market fluctuations in the United Arab Emirates Dubai technology sector.</w:t>
      </w:r>
    </w:p>
    <w:p>
      <w:pPr>
        <w:numPr>
          <w:ilvl w:val="0"/>
          <w:numId w:val="1003"/>
        </w:numPr>
        <w:pStyle w:val="Compact"/>
      </w:pPr>
      <w:r>
        <w:t xml:space="preserve">The Software Engineer assigned to this project shall be a qualified professional with a minimum of 8 years of relevant experience. The client reserves the right to request a replacement if performance does not meet the agreed-upon standards.</w:t>
      </w:r>
    </w:p>
    <w:p>
      <w:pPr>
        <w:numPr>
          <w:ilvl w:val="0"/>
          <w:numId w:val="1003"/>
        </w:numPr>
        <w:pStyle w:val="Compact"/>
      </w:pPr>
      <w:r>
        <w:t xml:space="preserve">All intellectual property rights in the developed software, source code, and documentation shall transfer to the client upon full and final payment as per this Quotation Estimate.</w:t>
      </w:r>
    </w:p>
    <w:p>
      <w:pPr>
        <w:numPr>
          <w:ilvl w:val="0"/>
          <w:numId w:val="1003"/>
        </w:numPr>
        <w:pStyle w:val="Compact"/>
      </w:pPr>
      <w:r>
        <w:t xml:space="preserve">The Software Engineer shall comply with all applicable laws and regulations of the United Arab Emirates, including but not limited to the UAE Data Protection Law (Federal Decree-Law No. 45 of 2021), the UAE Cybercrime Law, and Dubai-specific IT regulations.</w:t>
      </w:r>
    </w:p>
    <w:p>
      <w:pPr>
        <w:numPr>
          <w:ilvl w:val="0"/>
          <w:numId w:val="1003"/>
        </w:numPr>
        <w:pStyle w:val="Compact"/>
      </w:pPr>
      <w:r>
        <w:t xml:space="preserve">Any changes to the scope of work beyond the originally agreed deliverables will be subject to a separate change order and additional Quotation Estimate issued by TechNova Solutions LLC.</w:t>
      </w:r>
    </w:p>
    <w:p>
      <w:pPr>
        <w:numPr>
          <w:ilvl w:val="0"/>
          <w:numId w:val="1003"/>
        </w:numPr>
        <w:pStyle w:val="Compact"/>
      </w:pPr>
      <w:r>
        <w:t xml:space="preserve">This engagement is governed by the laws of the United Arab Emirates, and any disputes shall be resolved through arbitration in Dubai under the rules of the Dubai International Arbitration Centre (DIAC).</w:t>
      </w:r>
    </w:p>
    <w:p>
      <w:pPr>
        <w:numPr>
          <w:ilvl w:val="0"/>
          <w:numId w:val="1003"/>
        </w:numPr>
        <w:pStyle w:val="Compact"/>
      </w:pPr>
      <w:r>
        <w:t xml:space="preserve">The Software Engineer shall maintain strict confidentiality regarding all client data, business processes, and proprietary information encountered during the course of this project in the United Arab Emirates Dubai.</w:t>
      </w:r>
    </w:p>
    <w:bookmarkEnd w:id="26"/>
    <w:bookmarkStart w:id="27" w:name="acceptance-authorization"/>
    <w:p>
      <w:pPr>
        <w:pStyle w:val="Heading2"/>
      </w:pPr>
      <w:r>
        <w:t xml:space="preserve">7. Acceptance &amp; Authorization</w:t>
      </w:r>
    </w:p>
    <w:p>
      <w:pPr>
        <w:pStyle w:val="FirstParagraph"/>
      </w:pPr>
      <w:r>
        <w:t xml:space="preserve">By signing below, both parties acknowledge and agree to the terms, conditions, scope of work, and financial obligations outlined in this Quotation Estimate for the engagement of a Software Engineer in the United Arab Emirates Dubai.</w:t>
      </w:r>
    </w:p>
    <w:p>
      <w:pPr>
        <w:pStyle w:val="BodyText"/>
      </w:pPr>
      <w:r>
        <w:rPr>
          <w:bCs/>
          <w:b/>
        </w:rPr>
        <w:t xml:space="preserve">For TechNova Solutions LLC</w:t>
      </w:r>
      <w:r>
        <w:br/>
      </w:r>
      <w:r>
        <w:t xml:space="preserve">Name: _________________________</w:t>
      </w:r>
      <w:r>
        <w:br/>
      </w:r>
      <w:r>
        <w:t xml:space="preserve">Title: Managing Director</w:t>
      </w:r>
      <w:r>
        <w:br/>
      </w:r>
      <w:r>
        <w:t xml:space="preserve">Signature &amp; Company Stamp</w:t>
      </w:r>
      <w:r>
        <w:br/>
      </w:r>
      <w:r>
        <w:t xml:space="preserve">Date: _________________________</w:t>
      </w:r>
    </w:p>
    <w:p>
      <w:pPr>
        <w:pStyle w:val="BodyText"/>
      </w:pPr>
      <w:r>
        <w:rPr>
          <w:bCs/>
          <w:b/>
        </w:rPr>
        <w:t xml:space="preserve">For [Client Company Name]</w:t>
      </w:r>
      <w:r>
        <w:br/>
      </w:r>
      <w:r>
        <w:t xml:space="preserve">Name: _________________________</w:t>
      </w:r>
      <w:r>
        <w:br/>
      </w:r>
      <w:r>
        <w:t xml:space="preserve">Title: _________________________</w:t>
      </w:r>
      <w:r>
        <w:br/>
      </w:r>
      <w:r>
        <w:t xml:space="preserve">Signature &amp; Company Stamp</w:t>
      </w:r>
      <w:r>
        <w:br/>
      </w:r>
      <w:r>
        <w:t xml:space="preserve">Date: _________________________</w:t>
      </w:r>
    </w:p>
    <w:p>
      <w:pPr>
        <w:pStyle w:val="BodyText"/>
      </w:pPr>
      <w:r>
        <w:t xml:space="preserve">TechNova Solutions LLC | Dubai Internet City, Dubai, United Arab Emirates | TRN: 100XXXXXXXXXXX</w:t>
      </w:r>
    </w:p>
    <w:p>
      <w:pPr>
        <w:pStyle w:val="BodyText"/>
      </w:pPr>
      <w:r>
        <w:t xml:space="preserve">Email: quotations@technova-uae.com | Tel: +971 4 XXX XXXX | www.technova-uae.com</w:t>
      </w:r>
    </w:p>
    <w:p>
      <w:pPr>
        <w:pStyle w:val="BodyText"/>
      </w:pPr>
      <w:r>
        <w:t xml:space="preserve">This Quotation Estimate document is the property of TechNova Solutions LLC and is intended solely for the named client. Unauthorized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 United Arab Emirates Dubai</dc:title>
  <dc:creator/>
  <dc:language>en</dc:language>
  <cp:keywords/>
  <dcterms:created xsi:type="dcterms:W3CDTF">2026-10-10T01:45:20Z</dcterms:created>
  <dcterms:modified xsi:type="dcterms:W3CDTF">2026-10-10T01:45:20Z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