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Colombia</w:t>
      </w:r>
      <w:r>
        <w:t xml:space="preserve"> </w:t>
      </w:r>
      <w:r>
        <w:t xml:space="preserve">Bogotá</w:t>
      </w:r>
    </w:p>
    <w:bookmarkStart w:id="20" w:name="quotation-estimate"/>
    <w:p>
      <w:pPr>
        <w:pStyle w:val="Heading1"/>
      </w:pPr>
      <w:r>
        <w:t xml:space="preserve">QUOTATION ESTIMATE</w:t>
      </w:r>
    </w:p>
    <w:p>
      <w:pPr>
        <w:pStyle w:val="FirstParagraph"/>
      </w:pPr>
      <w:r>
        <w:rPr>
          <w:bCs/>
          <w:b/>
        </w:rPr>
        <w:t xml:space="preserve">Educational Services &amp; Professional Placement Solutions</w:t>
      </w:r>
    </w:p>
    <w:p>
      <w:pPr>
        <w:pStyle w:val="BodyText"/>
      </w:pPr>
      <w:r>
        <w:t xml:space="preserve">Calle 45 # 12-34, Of. 801, Zona Rosa, Bogotá D.C., Colombia</w:t>
      </w:r>
    </w:p>
    <w:p>
      <w:pPr>
        <w:pStyle w:val="BodyText"/>
      </w:pPr>
      <w:r>
        <w:t xml:space="preserve">Tel: +57 (601) 555-0142 | Email: quotes@eduspecialbogota.co</w:t>
      </w:r>
    </w:p>
    <w:p>
      <w:pPr>
        <w:pStyle w:val="BodyText"/>
      </w:pPr>
      <w:r>
        <w:t xml:space="preserve">NIT: 901.234.567-8 | RUT: 9012345678</w:t>
      </w:r>
    </w:p>
    <w:bookmarkEnd w:id="20"/>
    <w:p>
      <w:pPr>
        <w:pStyle w:val="BodyText"/>
      </w:pPr>
      <w:r>
        <w:rPr>
          <w:bCs/>
          <w:b/>
        </w:rPr>
        <w:t xml:space="preserve">Quotation No.:</w:t>
      </w:r>
      <w:r>
        <w:t xml:space="preserve"> </w:t>
      </w:r>
      <w:r>
        <w:t xml:space="preserve">QE-2025-0847</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Location:</w:t>
      </w:r>
      <w:r>
        <w:t xml:space="preserve"> </w:t>
      </w:r>
      <w:r>
        <w:t xml:space="preserve">Colombia Bogotá</w:t>
      </w:r>
    </w:p>
    <w:p>
      <w:pPr>
        <w:pStyle w:val="BodyText"/>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Institution:</w:t>
            </w:r>
            <w:r>
              <w:t xml:space="preserve"> </w:t>
            </w:r>
            <w:r>
              <w:t xml:space="preserve">Instituto Educativo Integral Los Andes</w:t>
            </w:r>
          </w:p>
        </w:tc>
        <w:tc>
          <w:tcPr/>
          <w:p>
            <w:pPr>
              <w:pStyle w:val="Compact"/>
              <w:jc w:val="left"/>
            </w:pPr>
            <w:r>
              <w:rPr>
                <w:bCs/>
                <w:b/>
              </w:rPr>
              <w:t xml:space="preserve">Contact Person:</w:t>
            </w:r>
            <w:r>
              <w:t xml:space="preserve"> </w:t>
            </w:r>
            <w:r>
              <w:t xml:space="preserve">Lic. María Fernanda Restrepo</w:t>
            </w:r>
          </w:p>
        </w:tc>
      </w:tr>
      <w:tr>
        <w:tc>
          <w:tcPr/>
          <w:p>
            <w:pPr>
              <w:pStyle w:val="Compact"/>
              <w:jc w:val="left"/>
            </w:pPr>
            <w:r>
              <w:rPr>
                <w:bCs/>
                <w:b/>
              </w:rPr>
              <w:t xml:space="preserve">Address:</w:t>
            </w:r>
            <w:r>
              <w:t xml:space="preserve"> </w:t>
            </w:r>
            <w:r>
              <w:t xml:space="preserve">Av. El Poblado # 43-22, Bogotá D.C., Colombia</w:t>
            </w:r>
          </w:p>
        </w:tc>
        <w:tc>
          <w:tcPr/>
          <w:p>
            <w:pPr>
              <w:pStyle w:val="Compact"/>
              <w:jc w:val="left"/>
            </w:pPr>
            <w:r>
              <w:rPr>
                <w:bCs/>
                <w:b/>
              </w:rPr>
              <w:t xml:space="preserve">Phone:</w:t>
            </w:r>
            <w:r>
              <w:t xml:space="preserve"> </w:t>
            </w:r>
            <w:r>
              <w:t xml:space="preserve">+57 (601) 777-3321</w:t>
            </w:r>
          </w:p>
        </w:tc>
      </w:tr>
      <w:tr>
        <w:tc>
          <w:tcPr/>
          <w:p>
            <w:pPr>
              <w:pStyle w:val="Compact"/>
              <w:jc w:val="left"/>
            </w:pPr>
            <w:r>
              <w:rPr>
                <w:bCs/>
                <w:b/>
              </w:rPr>
              <w:t xml:space="preserve">Email:</w:t>
            </w:r>
            <w:r>
              <w:t xml:space="preserve"> </w:t>
            </w:r>
            <w:r>
              <w:t xml:space="preserve">mrestrepo@ieilandes.edu.co</w:t>
            </w:r>
          </w:p>
        </w:tc>
        <w:tc>
          <w:tcPr/>
          <w:p>
            <w:pPr>
              <w:pStyle w:val="Compact"/>
              <w:jc w:val="left"/>
            </w:pPr>
            <w:r>
              <w:rPr>
                <w:bCs/>
                <w:b/>
              </w:rPr>
              <w:t xml:space="preserve">NIT Institution:</w:t>
            </w:r>
            <w:r>
              <w:t xml:space="preserve"> </w:t>
            </w:r>
            <w:r>
              <w:t xml:space="preserve">830.456.789-1</w:t>
            </w:r>
          </w:p>
        </w:tc>
      </w:tr>
    </w:tbl>
    <w:p>
      <w:pPr>
        <w:pStyle w:val="BodyText"/>
      </w:pPr>
      <w:r>
        <w:t xml:space="preserve">2. Purpose of This Quotation Estimate</w:t>
      </w:r>
    </w:p>
    <w:p>
      <w:pPr>
        <w:pStyle w:val="BodyText"/>
      </w:pPr>
      <w:r>
        <w:t xml:space="preserve">This</w:t>
      </w:r>
      <w:r>
        <w:t xml:space="preserve"> </w:t>
      </w:r>
      <w:r>
        <w:t xml:space="preserve">Quotation Estimate</w:t>
      </w:r>
      <w:r>
        <w:t xml:space="preserve"> </w:t>
      </w:r>
      <w:r>
        <w:t xml:space="preserve">is formally issued to provide a comprehensive and transparent breakdown of all costs associated with the recruitment, placement, and ongoing professional support of a qualified</w:t>
      </w:r>
      <w:r>
        <w:t xml:space="preserve"> </w:t>
      </w:r>
      <w:r>
        <w:t xml:space="preserve">Special Education Teacher</w:t>
      </w:r>
      <w:r>
        <w:t xml:space="preserve"> </w:t>
      </w:r>
      <w:r>
        <w:t xml:space="preserve">for the academic year 2025–2026. The services described herein are specifically tailored to meet the regulatory requirements established by the Secretaría de Educación de Bogotá and the national framework governing inclusive education in</w:t>
      </w:r>
      <w:r>
        <w:t xml:space="preserve"> </w:t>
      </w:r>
      <w:r>
        <w:t xml:space="preserve">Colombia Bogotá</w:t>
      </w:r>
      <w:r>
        <w:t xml:space="preserve">. This document serves as a binding financial proposal and does not constitute a final contract until both parties execute the definitive service agreement.</w:t>
      </w:r>
    </w:p>
    <w:p>
      <w:pPr>
        <w:pStyle w:val="BodyText"/>
      </w:pPr>
      <w:r>
        <w:t xml:space="preserve">3. Scope of Services – Special Education Teacher Placement</w:t>
      </w:r>
    </w:p>
    <w:p>
      <w:pPr>
        <w:pStyle w:val="BodyText"/>
      </w:pPr>
      <w:r>
        <w:t xml:space="preserve">The following services encompass the full lifecycle of engaging a</w:t>
      </w:r>
      <w:r>
        <w:t xml:space="preserve"> </w:t>
      </w:r>
      <w:r>
        <w:t xml:space="preserve">Special Education Teacher</w:t>
      </w:r>
      <w:r>
        <w:t xml:space="preserve"> </w:t>
      </w:r>
      <w:r>
        <w:t xml:space="preserve">to deliver inclusive educational programs within the client institution located in</w:t>
      </w:r>
      <w:r>
        <w:t xml:space="preserve"> </w:t>
      </w:r>
      <w:r>
        <w:t xml:space="preserve">Colombia Bogotá</w:t>
      </w:r>
      <w:r>
        <w:t xml:space="preserve">:</w:t>
      </w:r>
    </w:p>
    <w:p>
      <w:pPr>
        <w:numPr>
          <w:ilvl w:val="0"/>
          <w:numId w:val="1001"/>
        </w:numPr>
        <w:pStyle w:val="Compact"/>
      </w:pPr>
      <w:r>
        <w:rPr>
          <w:bCs/>
          <w:b/>
        </w:rPr>
        <w:t xml:space="preserve">Recruitment and Vetting:</w:t>
      </w:r>
      <w:r>
        <w:t xml:space="preserve"> </w:t>
      </w:r>
      <w:r>
        <w:t xml:space="preserve">Identification, screening, and selection of a certified Special Education Teacher holding a valid degree in Educación Especial from a recognized Colombian university, with a minimum of five (5) years of documented experience in inclusive classrooms in Bogotá D.C.</w:t>
      </w:r>
    </w:p>
    <w:p>
      <w:pPr>
        <w:numPr>
          <w:ilvl w:val="0"/>
          <w:numId w:val="1001"/>
        </w:numPr>
        <w:pStyle w:val="Compact"/>
      </w:pPr>
      <w:r>
        <w:rPr>
          <w:bCs/>
          <w:b/>
        </w:rPr>
        <w:t xml:space="preserve">Regulatory Compliance:</w:t>
      </w:r>
      <w:r>
        <w:t xml:space="preserve"> </w:t>
      </w:r>
      <w:r>
        <w:t xml:space="preserve">Verification of all credentials with the Ministerio de Educación Nacional, confirmation of RUT registration, and alignment with Decreto 1421 de 2017 and the Ley 1618 de 2013 governing disability rights and inclusive education in Colombia.</w:t>
      </w:r>
    </w:p>
    <w:p>
      <w:pPr>
        <w:numPr>
          <w:ilvl w:val="0"/>
          <w:numId w:val="1001"/>
        </w:numPr>
        <w:pStyle w:val="Compact"/>
      </w:pPr>
      <w:r>
        <w:rPr>
          <w:bCs/>
          <w:b/>
        </w:rPr>
        <w:t xml:space="preserve">Onboarding and Integration:</w:t>
      </w:r>
      <w:r>
        <w:t xml:space="preserve"> </w:t>
      </w:r>
      <w:r>
        <w:t xml:space="preserve">Orientation to the institution's pedagogical model, IEP (Individualized Education Program) documentation review, and coordination with the school's psychology and social work departments in Bogotá.</w:t>
      </w:r>
    </w:p>
    <w:p>
      <w:pPr>
        <w:numPr>
          <w:ilvl w:val="0"/>
          <w:numId w:val="1001"/>
        </w:numPr>
        <w:pStyle w:val="Compact"/>
      </w:pPr>
      <w:r>
        <w:rPr>
          <w:bCs/>
          <w:b/>
        </w:rPr>
        <w:t xml:space="preserve">Ongoing Supervision:</w:t>
      </w:r>
      <w:r>
        <w:t xml:space="preserve"> </w:t>
      </w:r>
      <w:r>
        <w:t xml:space="preserve">Monthly pedagogical supervision visits, quarterly performance evaluations, and biannual professional development workshops specific to special education methodologies practiced in Colombia Bogotá.</w:t>
      </w:r>
    </w:p>
    <w:p>
      <w:pPr>
        <w:numPr>
          <w:ilvl w:val="0"/>
          <w:numId w:val="1001"/>
        </w:numPr>
        <w:pStyle w:val="Compact"/>
      </w:pPr>
      <w:r>
        <w:rPr>
          <w:bCs/>
          <w:b/>
        </w:rPr>
        <w:t xml:space="preserve">Administrative Support:</w:t>
      </w:r>
      <w:r>
        <w:t xml:space="preserve"> </w:t>
      </w:r>
      <w:r>
        <w:t xml:space="preserve">Management of labor contracts in compliance with Colombian labor law (Código Sustantivo del Trabajo), social security enrollment (Pensión, Salud, ARL), and tax withholding (retención en la fuente).</w:t>
      </w:r>
    </w:p>
    <w:p>
      <w:pPr>
        <w:pStyle w:val="FirstParagraph"/>
      </w:pPr>
      <w:r>
        <w:t xml:space="preserve">4.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Unit Cost (COP)</w:t>
            </w:r>
          </w:p>
        </w:tc>
        <w:tc>
          <w:tcPr/>
          <w:p>
            <w:pPr>
              <w:pStyle w:val="Compact"/>
              <w:jc w:val="left"/>
            </w:pPr>
            <w:r>
              <w:t xml:space="preserve">Subtotal (COP)</w:t>
            </w:r>
          </w:p>
        </w:tc>
      </w:tr>
      <w:tr>
        <w:tc>
          <w:tcPr/>
          <w:p>
            <w:pPr>
              <w:pStyle w:val="Compact"/>
              <w:jc w:val="left"/>
            </w:pPr>
            <w:r>
              <w:t xml:space="preserve">01</w:t>
            </w:r>
          </w:p>
        </w:tc>
        <w:tc>
          <w:tcPr/>
          <w:p>
            <w:pPr>
              <w:pStyle w:val="Compact"/>
              <w:jc w:val="left"/>
            </w:pPr>
            <w:r>
              <w:t xml:space="preserve">Recruitment, screening, and placement of Special Education Teacher</w:t>
            </w:r>
          </w:p>
        </w:tc>
        <w:tc>
          <w:tcPr/>
          <w:p>
            <w:pPr>
              <w:pStyle w:val="Compact"/>
              <w:jc w:val="left"/>
            </w:pPr>
            <w:r>
              <w:t xml:space="preserve">One-time</w:t>
            </w:r>
          </w:p>
        </w:tc>
        <w:tc>
          <w:tcPr/>
          <w:p>
            <w:pPr>
              <w:pStyle w:val="Compact"/>
              <w:jc w:val="left"/>
            </w:pPr>
            <w:r>
              <w:t xml:space="preserve">2,850,000</w:t>
            </w:r>
          </w:p>
        </w:tc>
        <w:tc>
          <w:tcPr/>
          <w:p>
            <w:pPr>
              <w:pStyle w:val="Compact"/>
              <w:jc w:val="left"/>
            </w:pPr>
            <w:r>
              <w:t xml:space="preserve">2,850,000</w:t>
            </w:r>
          </w:p>
        </w:tc>
      </w:tr>
      <w:tr>
        <w:tc>
          <w:tcPr/>
          <w:p>
            <w:pPr>
              <w:pStyle w:val="Compact"/>
              <w:jc w:val="left"/>
            </w:pPr>
            <w:r>
              <w:t xml:space="preserve">02</w:t>
            </w:r>
          </w:p>
        </w:tc>
        <w:tc>
          <w:tcPr/>
          <w:p>
            <w:pPr>
              <w:pStyle w:val="Compact"/>
              <w:jc w:val="left"/>
            </w:pPr>
            <w:r>
              <w:t xml:space="preserve">Monthly salary – Special Education Teacher (full-time, 40 hrs/week)</w:t>
            </w:r>
          </w:p>
        </w:tc>
        <w:tc>
          <w:tcPr/>
          <w:p>
            <w:pPr>
              <w:pStyle w:val="Compact"/>
              <w:jc w:val="left"/>
            </w:pPr>
            <w:r>
              <w:t xml:space="preserve">10 months</w:t>
            </w:r>
          </w:p>
        </w:tc>
        <w:tc>
          <w:tcPr/>
          <w:p>
            <w:pPr>
              <w:pStyle w:val="Compact"/>
              <w:jc w:val="left"/>
            </w:pPr>
            <w:r>
              <w:t xml:space="preserve">4,200,000</w:t>
            </w:r>
          </w:p>
        </w:tc>
        <w:tc>
          <w:tcPr/>
          <w:p>
            <w:pPr>
              <w:pStyle w:val="Compact"/>
              <w:jc w:val="left"/>
            </w:pPr>
            <w:r>
              <w:t xml:space="preserve">42,000,000</w:t>
            </w:r>
          </w:p>
        </w:tc>
      </w:tr>
      <w:tr>
        <w:tc>
          <w:tcPr/>
          <w:p>
            <w:pPr>
              <w:pStyle w:val="Compact"/>
              <w:jc w:val="left"/>
            </w:pPr>
            <w:r>
              <w:t xml:space="preserve">03</w:t>
            </w:r>
          </w:p>
        </w:tc>
        <w:tc>
          <w:tcPr/>
          <w:p>
            <w:pPr>
              <w:pStyle w:val="Compact"/>
              <w:jc w:val="left"/>
            </w:pPr>
            <w:r>
              <w:t xml:space="preserve">Social security contributions (employer portion: Pensión, Salud, ARL, CCB)</w:t>
            </w:r>
          </w:p>
        </w:tc>
        <w:tc>
          <w:tcPr/>
          <w:p>
            <w:pPr>
              <w:pStyle w:val="Compact"/>
              <w:jc w:val="left"/>
            </w:pPr>
            <w:r>
              <w:t xml:space="preserve">10 months</w:t>
            </w:r>
          </w:p>
        </w:tc>
        <w:tc>
          <w:tcPr/>
          <w:p>
            <w:pPr>
              <w:pStyle w:val="Compact"/>
              <w:jc w:val="left"/>
            </w:pPr>
            <w:r>
              <w:t xml:space="preserve">1,260,000</w:t>
            </w:r>
          </w:p>
        </w:tc>
        <w:tc>
          <w:tcPr/>
          <w:p>
            <w:pPr>
              <w:pStyle w:val="Compact"/>
              <w:jc w:val="left"/>
            </w:pPr>
            <w:r>
              <w:t xml:space="preserve">12,600,000</w:t>
            </w:r>
          </w:p>
        </w:tc>
      </w:tr>
      <w:tr>
        <w:tc>
          <w:tcPr/>
          <w:p>
            <w:pPr>
              <w:pStyle w:val="Compact"/>
              <w:jc w:val="left"/>
            </w:pPr>
            <w:r>
              <w:t xml:space="preserve">04</w:t>
            </w:r>
          </w:p>
        </w:tc>
        <w:tc>
          <w:tcPr/>
          <w:p>
            <w:pPr>
              <w:pStyle w:val="Compact"/>
              <w:jc w:val="left"/>
            </w:pPr>
            <w:r>
              <w:t xml:space="preserve">Monthly pedagogical supervision and quality assurance</w:t>
            </w:r>
          </w:p>
        </w:tc>
        <w:tc>
          <w:tcPr/>
          <w:p>
            <w:pPr>
              <w:pStyle w:val="Compact"/>
              <w:jc w:val="left"/>
            </w:pPr>
            <w:r>
              <w:t xml:space="preserve">10 months</w:t>
            </w:r>
          </w:p>
        </w:tc>
        <w:tc>
          <w:tcPr/>
          <w:p>
            <w:pPr>
              <w:pStyle w:val="Compact"/>
              <w:jc w:val="left"/>
            </w:pPr>
            <w:r>
              <w:t xml:space="preserve">850,000</w:t>
            </w:r>
          </w:p>
        </w:tc>
        <w:tc>
          <w:tcPr/>
          <w:p>
            <w:pPr>
              <w:pStyle w:val="Compact"/>
              <w:jc w:val="left"/>
            </w:pPr>
            <w:r>
              <w:t xml:space="preserve">8,500,000</w:t>
            </w:r>
          </w:p>
        </w:tc>
      </w:tr>
      <w:tr>
        <w:tc>
          <w:tcPr/>
          <w:p>
            <w:pPr>
              <w:pStyle w:val="Compact"/>
              <w:jc w:val="left"/>
            </w:pPr>
            <w:r>
              <w:t xml:space="preserve">05</w:t>
            </w:r>
          </w:p>
        </w:tc>
        <w:tc>
          <w:tcPr/>
          <w:p>
            <w:pPr>
              <w:pStyle w:val="Compact"/>
              <w:jc w:val="left"/>
            </w:pPr>
            <w:r>
              <w:t xml:space="preserve">Professional development workshops (IEP design, assistive technology, behavioral intervention)</w:t>
            </w:r>
          </w:p>
        </w:tc>
        <w:tc>
          <w:tcPr/>
          <w:p>
            <w:pPr>
              <w:pStyle w:val="Compact"/>
              <w:jc w:val="left"/>
            </w:pPr>
            <w:r>
              <w:t xml:space="preserve">2 sessions/year</w:t>
            </w:r>
          </w:p>
        </w:tc>
        <w:tc>
          <w:tcPr/>
          <w:p>
            <w:pPr>
              <w:pStyle w:val="Compact"/>
              <w:jc w:val="left"/>
            </w:pPr>
            <w:r>
              <w:t xml:space="preserve">1,500,000</w:t>
            </w:r>
          </w:p>
        </w:tc>
        <w:tc>
          <w:tcPr/>
          <w:p>
            <w:pPr>
              <w:pStyle w:val="Compact"/>
              <w:jc w:val="left"/>
            </w:pPr>
            <w:r>
              <w:t xml:space="preserve">3,000,000</w:t>
            </w:r>
          </w:p>
        </w:tc>
      </w:tr>
      <w:tr>
        <w:tc>
          <w:tcPr/>
          <w:p>
            <w:pPr>
              <w:pStyle w:val="Compact"/>
              <w:jc w:val="left"/>
            </w:pPr>
            <w:r>
              <w:t xml:space="preserve">06</w:t>
            </w:r>
          </w:p>
        </w:tc>
        <w:tc>
          <w:tcPr/>
          <w:p>
            <w:pPr>
              <w:pStyle w:val="Compact"/>
              <w:jc w:val="left"/>
            </w:pPr>
            <w:r>
              <w:t xml:space="preserve">Administrative and legal support (contract management, tax compliance in Colombia Bogotá)</w:t>
            </w:r>
          </w:p>
        </w:tc>
        <w:tc>
          <w:tcPr/>
          <w:p>
            <w:pPr>
              <w:pStyle w:val="Compact"/>
              <w:jc w:val="left"/>
            </w:pPr>
            <w:r>
              <w:t xml:space="preserve">10 months</w:t>
            </w:r>
          </w:p>
        </w:tc>
        <w:tc>
          <w:tcPr/>
          <w:p>
            <w:pPr>
              <w:pStyle w:val="Compact"/>
              <w:jc w:val="left"/>
            </w:pPr>
            <w:r>
              <w:t xml:space="preserve">450,000</w:t>
            </w:r>
          </w:p>
        </w:tc>
        <w:tc>
          <w:tcPr/>
          <w:p>
            <w:pPr>
              <w:pStyle w:val="Compact"/>
              <w:jc w:val="left"/>
            </w:pPr>
            <w:r>
              <w:t xml:space="preserve">4,500,000</w:t>
            </w:r>
          </w:p>
        </w:tc>
      </w:tr>
      <w:tr>
        <w:tc>
          <w:tcPr/>
          <w:p>
            <w:pPr>
              <w:pStyle w:val="Compact"/>
              <w:jc w:val="left"/>
            </w:pPr>
            <w:r>
              <w:t xml:space="preserve">07</w:t>
            </w:r>
          </w:p>
        </w:tc>
        <w:tc>
          <w:tcPr/>
          <w:p>
            <w:pPr>
              <w:pStyle w:val="Compact"/>
              <w:jc w:val="left"/>
            </w:pPr>
            <w:r>
              <w:t xml:space="preserve">Annual performance evaluation and institutional reporting</w:t>
            </w:r>
          </w:p>
        </w:tc>
        <w:tc>
          <w:tcPr/>
          <w:p>
            <w:pPr>
              <w:pStyle w:val="Compact"/>
              <w:jc w:val="left"/>
            </w:pPr>
            <w:r>
              <w:t xml:space="preserve">One-time</w:t>
            </w:r>
          </w:p>
        </w:tc>
        <w:tc>
          <w:tcPr/>
          <w:p>
            <w:pPr>
              <w:pStyle w:val="Compact"/>
              <w:jc w:val="left"/>
            </w:pPr>
            <w:r>
              <w:t xml:space="preserve">1,200,000</w:t>
            </w:r>
          </w:p>
        </w:tc>
        <w:tc>
          <w:tcPr/>
          <w:p>
            <w:pPr>
              <w:pStyle w:val="Compact"/>
              <w:jc w:val="left"/>
            </w:pPr>
            <w:r>
              <w:t xml:space="preserve">1,200,000</w:t>
            </w:r>
          </w:p>
        </w:tc>
      </w:tr>
      <w:tr>
        <w:tc>
          <w:tcPr>
            <w:gridSpan w:val="4"/>
          </w:tcPr>
          <w:p>
            <w:pPr>
              <w:pStyle w:val="Compact"/>
              <w:jc w:val="left"/>
            </w:pPr>
            <w:r>
              <w:rPr>
                <w:bCs/>
                <w:b/>
              </w:rPr>
              <w:t xml:space="preserve">TOTAL ESTIMATED COST (COP)</w:t>
            </w:r>
          </w:p>
        </w:tc>
        <w:tc>
          <w:tcPr/>
          <w:p>
            <w:pPr>
              <w:pStyle w:val="Compact"/>
              <w:jc w:val="left"/>
            </w:pPr>
            <w:r>
              <w:rPr>
                <w:bCs/>
                <w:b/>
              </w:rPr>
              <w:t xml:space="preserve">74,650,000</w:t>
            </w:r>
          </w:p>
        </w:tc>
      </w:tr>
      <w:tr>
        <w:tc>
          <w:tcPr>
            <w:gridSpan w:val="4"/>
          </w:tcPr>
          <w:p>
            <w:pPr>
              <w:pStyle w:val="Compact"/>
              <w:jc w:val="left"/>
            </w:pPr>
            <w:r>
              <w:rPr>
                <w:bCs/>
                <w:b/>
              </w:rPr>
              <w:t xml:space="preserve">TOTAL ESTIMATED COST (USD – approx. at 3,950 COP/USD)</w:t>
            </w:r>
          </w:p>
        </w:tc>
        <w:tc>
          <w:tcPr/>
          <w:p>
            <w:pPr>
              <w:pStyle w:val="Compact"/>
              <w:jc w:val="left"/>
            </w:pPr>
            <w:r>
              <w:rPr>
                <w:bCs/>
                <w:b/>
              </w:rPr>
              <w:t xml:space="preserve">$18,900.00</w:t>
            </w:r>
          </w:p>
        </w:tc>
      </w:tr>
    </w:tbl>
    <w:p>
      <w:pPr>
        <w:pStyle w:val="BodyText"/>
      </w:pPr>
      <w:r>
        <w:t xml:space="preserve">5. Payment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Installment</w:t>
            </w:r>
          </w:p>
        </w:tc>
        <w:tc>
          <w:tcPr/>
          <w:p>
            <w:pPr>
              <w:pStyle w:val="Compact"/>
              <w:jc w:val="left"/>
            </w:pPr>
            <w:r>
              <w:t xml:space="preserve">Due Date</w:t>
            </w:r>
          </w:p>
        </w:tc>
        <w:tc>
          <w:tcPr/>
          <w:p>
            <w:pPr>
              <w:pStyle w:val="Compact"/>
              <w:jc w:val="left"/>
            </w:pPr>
            <w:r>
              <w:t xml:space="preserve">Amount (COP)</w:t>
            </w:r>
          </w:p>
        </w:tc>
        <w:tc>
          <w:tcPr/>
          <w:p>
            <w:pPr>
              <w:pStyle w:val="Compact"/>
              <w:jc w:val="left"/>
            </w:pPr>
            <w:r>
              <w:t xml:space="preserve">Notes</w:t>
            </w:r>
          </w:p>
        </w:tc>
      </w:tr>
      <w:tr>
        <w:tc>
          <w:tcPr/>
          <w:p>
            <w:pPr>
              <w:pStyle w:val="Compact"/>
              <w:jc w:val="left"/>
            </w:pPr>
            <w:r>
              <w:t xml:space="preserve">1st (30%)</w:t>
            </w:r>
          </w:p>
        </w:tc>
        <w:tc>
          <w:tcPr/>
          <w:p>
            <w:pPr>
              <w:pStyle w:val="Compact"/>
              <w:jc w:val="left"/>
            </w:pPr>
            <w:r>
              <w:t xml:space="preserve">Upon contract signing</w:t>
            </w:r>
          </w:p>
        </w:tc>
        <w:tc>
          <w:tcPr/>
          <w:p>
            <w:pPr>
              <w:pStyle w:val="Compact"/>
              <w:jc w:val="left"/>
            </w:pPr>
            <w:r>
              <w:t xml:space="preserve">22,395,000</w:t>
            </w:r>
          </w:p>
        </w:tc>
        <w:tc>
          <w:tcPr/>
          <w:p>
            <w:pPr>
              <w:pStyle w:val="Compact"/>
              <w:jc w:val="left"/>
            </w:pPr>
            <w:r>
              <w:t xml:space="preserve">Covers recruitment, onboarding, and first month</w:t>
            </w:r>
          </w:p>
        </w:tc>
      </w:tr>
      <w:tr>
        <w:tc>
          <w:tcPr/>
          <w:p>
            <w:pPr>
              <w:pStyle w:val="Compact"/>
              <w:jc w:val="left"/>
            </w:pPr>
            <w:r>
              <w:t xml:space="preserve">2nd (35%)</w:t>
            </w:r>
          </w:p>
        </w:tc>
        <w:tc>
          <w:tcPr/>
          <w:p>
            <w:pPr>
              <w:pStyle w:val="Compact"/>
              <w:jc w:val="left"/>
            </w:pPr>
            <w:r>
              <w:t xml:space="preserve">October 15, 2025</w:t>
            </w:r>
          </w:p>
        </w:tc>
        <w:tc>
          <w:tcPr/>
          <w:p>
            <w:pPr>
              <w:pStyle w:val="Compact"/>
              <w:jc w:val="left"/>
            </w:pPr>
            <w:r>
              <w:t xml:space="preserve">26,127,500</w:t>
            </w:r>
          </w:p>
        </w:tc>
        <w:tc>
          <w:tcPr/>
          <w:p>
            <w:pPr>
              <w:pStyle w:val="Compact"/>
              <w:jc w:val="left"/>
            </w:pPr>
            <w:r>
              <w:t xml:space="preserve">Covers months 2–5 of service</w:t>
            </w:r>
          </w:p>
        </w:tc>
      </w:tr>
      <w:tr>
        <w:tc>
          <w:tcPr/>
          <w:p>
            <w:pPr>
              <w:pStyle w:val="Compact"/>
              <w:jc w:val="left"/>
            </w:pPr>
            <w:r>
              <w:t xml:space="preserve">3rd (35%)</w:t>
            </w:r>
          </w:p>
        </w:tc>
        <w:tc>
          <w:tcPr/>
          <w:p>
            <w:pPr>
              <w:pStyle w:val="Compact"/>
              <w:jc w:val="left"/>
            </w:pPr>
            <w:r>
              <w:t xml:space="preserve">January 15, 2026</w:t>
            </w:r>
          </w:p>
        </w:tc>
        <w:tc>
          <w:tcPr/>
          <w:p>
            <w:pPr>
              <w:pStyle w:val="Compact"/>
              <w:jc w:val="left"/>
            </w:pPr>
            <w:r>
              <w:t xml:space="preserve">26,127,500</w:t>
            </w:r>
          </w:p>
        </w:tc>
        <w:tc>
          <w:tcPr/>
          <w:p>
            <w:pPr>
              <w:pStyle w:val="Compact"/>
              <w:jc w:val="left"/>
            </w:pPr>
            <w:r>
              <w:t xml:space="preserve">Covers months 6–10 and annual evaluation</w:t>
            </w:r>
          </w:p>
        </w:tc>
      </w:tr>
    </w:tbl>
    <w:p>
      <w:pPr>
        <w:pStyle w:val="BodyText"/>
      </w:pPr>
      <w:r>
        <w:t xml:space="preserve">6.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issuance. After the expiration date, all pricing is subject to revision based on current labor market conditions in</w:t>
      </w:r>
      <w:r>
        <w:t xml:space="preserve"> </w:t>
      </w:r>
      <w:r>
        <w:t xml:space="preserve">Colombia Bogotá</w:t>
      </w:r>
      <w:r>
        <w:t xml:space="preserve">.</w:t>
      </w:r>
    </w:p>
    <w:p>
      <w:pPr>
        <w:numPr>
          <w:ilvl w:val="0"/>
          <w:numId w:val="1002"/>
        </w:numPr>
        <w:pStyle w:val="Compact"/>
      </w:pPr>
      <w:r>
        <w:t xml:space="preserve">All amounts are expressed in Colombian Pesos (COP) and are inclusive of applicable taxes unless otherwise stated. The client is responsible for any additional municipal levies imposed by the Alcaldía Mayor de Bogotá.</w:t>
      </w:r>
    </w:p>
    <w:p>
      <w:pPr>
        <w:numPr>
          <w:ilvl w:val="0"/>
          <w:numId w:val="1002"/>
        </w:numPr>
        <w:pStyle w:val="Compact"/>
      </w:pPr>
      <w:r>
        <w:t xml:space="preserve">The</w:t>
      </w:r>
      <w:r>
        <w:t xml:space="preserve"> </w:t>
      </w:r>
      <w:r>
        <w:t xml:space="preserve">Special Education Teacher</w:t>
      </w:r>
      <w:r>
        <w:t xml:space="preserve"> </w:t>
      </w:r>
      <w:r>
        <w:t xml:space="preserve">shall be subject to a thirty (30) day probationary period. During this period, either party may terminate the engagement with written notice and no penalty.</w:t>
      </w:r>
    </w:p>
    <w:p>
      <w:pPr>
        <w:numPr>
          <w:ilvl w:val="0"/>
          <w:numId w:val="1002"/>
        </w:numPr>
        <w:pStyle w:val="Compact"/>
      </w:pPr>
      <w:r>
        <w:t xml:space="preserve">Any changes to the scope of services, including additional student caseloads or extended hours, will require a supplementary</w:t>
      </w:r>
      <w:r>
        <w:t xml:space="preserve"> </w:t>
      </w:r>
      <w:r>
        <w:t xml:space="preserve">Quotation Estimate</w:t>
      </w:r>
      <w:r>
        <w:t xml:space="preserve"> </w:t>
      </w:r>
      <w:r>
        <w:t xml:space="preserve">approved in writing by both parties.</w:t>
      </w:r>
    </w:p>
    <w:p>
      <w:pPr>
        <w:numPr>
          <w:ilvl w:val="0"/>
          <w:numId w:val="1002"/>
        </w:numPr>
        <w:pStyle w:val="Compact"/>
      </w:pPr>
      <w:r>
        <w:t xml:space="preserve">Payment shall be made via bank transfer to the account designated in the definitive service agreement. Late payments shall accrue interest at the maximum rate permitted by Colombian law (Interés Moratorio).</w:t>
      </w:r>
    </w:p>
    <w:p>
      <w:pPr>
        <w:numPr>
          <w:ilvl w:val="0"/>
          <w:numId w:val="1002"/>
        </w:numPr>
        <w:pStyle w:val="Compact"/>
      </w:pPr>
      <w:r>
        <w:t xml:space="preserve">This</w:t>
      </w:r>
      <w:r>
        <w:t xml:space="preserve"> </w:t>
      </w:r>
      <w:r>
        <w:t xml:space="preserve">Quotation Estimate</w:t>
      </w:r>
      <w:r>
        <w:t xml:space="preserve"> </w:t>
      </w:r>
      <w:r>
        <w:t xml:space="preserve">does not constitute a guarantee of placement. The final selection of the</w:t>
      </w:r>
      <w:r>
        <w:t xml:space="preserve"> </w:t>
      </w:r>
      <w:r>
        <w:t xml:space="preserve">Special Education Teacher</w:t>
      </w:r>
      <w:r>
        <w:t xml:space="preserve"> </w:t>
      </w:r>
      <w:r>
        <w:t xml:space="preserve">is subject to mutual agreement and successful completion of all background checks required by Colombian law.</w:t>
      </w:r>
    </w:p>
    <w:p>
      <w:pPr>
        <w:numPr>
          <w:ilvl w:val="0"/>
          <w:numId w:val="1002"/>
        </w:numPr>
        <w:pStyle w:val="Compact"/>
      </w:pPr>
      <w:r>
        <w:t xml:space="preserve">All services shall be performed in compliance with the data protection regulations established by Ley 1581 de 2012 and the policies of the Superintendencia de Industria y Comercio in Colombia.</w:t>
      </w:r>
    </w:p>
    <w:p>
      <w:pPr>
        <w:numPr>
          <w:ilvl w:val="0"/>
          <w:numId w:val="1002"/>
        </w:numPr>
        <w:pStyle w:val="Compact"/>
      </w:pPr>
      <w:r>
        <w:t xml:space="preserve">Disputes arising from this</w:t>
      </w:r>
      <w:r>
        <w:t xml:space="preserve"> </w:t>
      </w:r>
      <w:r>
        <w:t xml:space="preserve">Quotation Estimate</w:t>
      </w:r>
      <w:r>
        <w:t xml:space="preserve"> </w:t>
      </w:r>
      <w:r>
        <w:t xml:space="preserve">or the subsequent service agreement shall be resolved through the competent labor courts of Bogotá D.C., Colombia.</w:t>
      </w:r>
    </w:p>
    <w:p>
      <w:pPr>
        <w:pStyle w:val="FirstParagraph"/>
      </w:pPr>
      <w:r>
        <w:rPr>
          <w:bCs/>
          <w:b/>
        </w:rPr>
        <w:t xml:space="preserve">Important Note:</w:t>
      </w:r>
      <w:r>
        <w:t xml:space="preserve"> </w:t>
      </w:r>
      <w:r>
        <w:t xml:space="preserve">This Quotation Estimate is prepared exclusively for the institution named above and is non-transferable. All services related to the Special Education Teacher placement are governed by the educational regulations of Colombia Bogotá and the national inclusive education framework. Please review all terms carefully before proceeding with acceptance.</w:t>
      </w:r>
    </w:p>
    <w:p>
      <w:pPr>
        <w:pStyle w:val="BodyText"/>
      </w:pPr>
      <w:r>
        <w:rPr>
          <w:bCs/>
          <w:b/>
        </w:rPr>
        <w:t xml:space="preserve">Prepared by:</w:t>
      </w:r>
      <w:r>
        <w:br/>
      </w:r>
      <w:r>
        <w:t xml:space="preserve">Carlos Andrés Gutiérrez M.</w:t>
      </w:r>
      <w:r>
        <w:br/>
      </w:r>
      <w:r>
        <w:t xml:space="preserve">Director de Operaciones</w:t>
      </w:r>
      <w:r>
        <w:br/>
      </w:r>
      <w:r>
        <w:t xml:space="preserve">Educational Services &amp; Professional Placement Solutions</w:t>
      </w:r>
      <w:r>
        <w:br/>
      </w:r>
      <w:r>
        <w:t xml:space="preserve">Bogotá D.C., Colombia</w:t>
      </w:r>
    </w:p>
    <w:p>
      <w:pPr>
        <w:pStyle w:val="BodyText"/>
      </w:pPr>
      <w:r>
        <w:rPr>
          <w:bCs/>
          <w:b/>
        </w:rPr>
        <w:t xml:space="preserve">Accepted by (Client):</w:t>
      </w:r>
      <w:r>
        <w:br/>
      </w:r>
      <w:r>
        <w:t xml:space="preserve">Lic. María Fernanda Restrepo</w:t>
      </w:r>
      <w:r>
        <w:br/>
      </w:r>
      <w:r>
        <w:t xml:space="preserve">Rectora</w:t>
      </w:r>
      <w:r>
        <w:br/>
      </w:r>
      <w:r>
        <w:t xml:space="preserve">Instituto Educativo Integral Los Andes</w:t>
      </w:r>
      <w:r>
        <w:br/>
      </w:r>
      <w:r>
        <w:t xml:space="preserve">Bogotá D.C., Colombia</w:t>
      </w:r>
    </w:p>
    <w:p>
      <w:pPr>
        <w:pStyle w:val="BodyText"/>
      </w:pPr>
      <w:r>
        <w:t xml:space="preserve">Document generated on June 12, 2025 | Quotation Estimate QE-2025-0847 | Special Education Teacher Services | Colombia Bogotá</w:t>
      </w:r>
      <w:r>
        <w:br/>
      </w:r>
      <w:r>
        <w:t xml:space="preserve">This document is valid only when signed and stamped by both parties.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Special Education Teacher - Colombia Bogotá</dc:title>
  <dc:creator/>
  <dc:language>en</dc:language>
  <cp:keywords/>
  <dcterms:created xsi:type="dcterms:W3CDTF">2026-10-10T03:53:01Z</dcterms:created>
  <dcterms:modified xsi:type="dcterms:W3CDTF">2026-10-10T03:53:01Z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