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Egypt</w:t>
      </w:r>
      <w:r>
        <w:t xml:space="preserve"> </w:t>
      </w:r>
      <w:r>
        <w:t xml:space="preserve">Alexandria</w:t>
      </w:r>
    </w:p>
    <w:bookmarkStart w:id="20" w:name="quotation-estimate"/>
    <w:p>
      <w:pPr>
        <w:pStyle w:val="Heading1"/>
      </w:pPr>
      <w:r>
        <w:t xml:space="preserve">QUOTATION ESTIMATE</w:t>
      </w:r>
    </w:p>
    <w:p>
      <w:pPr>
        <w:pStyle w:val="FirstParagraph"/>
      </w:pPr>
      <w:r>
        <w:t xml:space="preserve">Special Education Teacher Services — Egypt Alexandria</w:t>
      </w:r>
    </w:p>
    <w:p>
      <w:pPr>
        <w:pStyle w:val="BodyText"/>
      </w:pPr>
      <w:r>
        <w:t xml:space="preserve">Professional Educational Staffing Solutions</w:t>
      </w:r>
    </w:p>
    <w:bookmarkEnd w:id="20"/>
    <w:p>
      <w:pPr>
        <w:pStyle w:val="BodyText"/>
      </w:pPr>
      <w:r>
        <w:t xml:space="preserve">Quotation Estimate No.: QTE-EGY-ALX-2025-0472</w:t>
      </w:r>
      <w:r>
        <w:t xml:space="preserve"> </w:t>
      </w:r>
      <w:r>
        <w:t xml:space="preserve">Date of Issue: 15 June 2025</w:t>
      </w:r>
      <w:r>
        <w:t xml:space="preserve"> </w:t>
      </w:r>
      <w:r>
        <w:t xml:space="preserve">Valid Until: 15 July 2025</w:t>
      </w:r>
    </w:p>
    <w:bookmarkStart w:id="21" w:name="prepared-by-service-provider"/>
    <w:p>
      <w:pPr>
        <w:pStyle w:val="Heading4"/>
      </w:pPr>
      <w:r>
        <w:t xml:space="preserve">Prepared By (Service Provider)</w:t>
      </w:r>
    </w:p>
    <w:p>
      <w:pPr>
        <w:pStyle w:val="FirstParagraph"/>
      </w:pPr>
      <w:r>
        <w:rPr>
          <w:bCs/>
          <w:b/>
        </w:rPr>
        <w:t xml:space="preserve">Alexandria Educational Staffing Co.</w:t>
      </w:r>
    </w:p>
    <w:p>
      <w:pPr>
        <w:pStyle w:val="BodyText"/>
      </w:pPr>
      <w:r>
        <w:t xml:space="preserve">142 Corniche El-Nil Street, Smouha District</w:t>
      </w:r>
    </w:p>
    <w:p>
      <w:pPr>
        <w:pStyle w:val="BodyText"/>
      </w:pPr>
      <w:r>
        <w:t xml:space="preserve">Alexandria, Egypt — P.O. Box 4521</w:t>
      </w:r>
    </w:p>
    <w:p>
      <w:pPr>
        <w:pStyle w:val="BodyText"/>
      </w:pPr>
      <w:r>
        <w:t xml:space="preserve">Tel: +20 3 482 7710 | Email: info@alexedstaff.eg</w:t>
      </w:r>
    </w:p>
    <w:p>
      <w:pPr>
        <w:pStyle w:val="BodyText"/>
      </w:pPr>
      <w:r>
        <w:t xml:space="preserve">Commercial Registration: 118-4472-A</w:t>
      </w:r>
    </w:p>
    <w:bookmarkEnd w:id="21"/>
    <w:bookmarkStart w:id="22" w:name="prepared-for-client"/>
    <w:p>
      <w:pPr>
        <w:pStyle w:val="Heading4"/>
      </w:pPr>
      <w:r>
        <w:t xml:space="preserve">Prepared For (Client)</w:t>
      </w:r>
    </w:p>
    <w:p>
      <w:pPr>
        <w:pStyle w:val="FirstParagraph"/>
      </w:pPr>
      <w:r>
        <w:rPr>
          <w:bCs/>
          <w:b/>
        </w:rPr>
        <w:t xml:space="preserve">Al-Noor Integrated School</w:t>
      </w:r>
    </w:p>
    <w:p>
      <w:pPr>
        <w:pStyle w:val="BodyText"/>
      </w:pPr>
      <w:r>
        <w:t xml:space="preserve">78 El-Montazah Road, Montazah District</w:t>
      </w:r>
    </w:p>
    <w:p>
      <w:pPr>
        <w:pStyle w:val="BodyText"/>
      </w:pPr>
      <w:r>
        <w:t xml:space="preserve">Alexandria, Egypt — P.O. Box 3309</w:t>
      </w:r>
    </w:p>
    <w:p>
      <w:pPr>
        <w:pStyle w:val="BodyText"/>
      </w:pPr>
      <w:r>
        <w:t xml:space="preserve">Contact: Dr. Hana El-Sayed, Principal</w:t>
      </w:r>
    </w:p>
    <w:p>
      <w:pPr>
        <w:pStyle w:val="BodyText"/>
      </w:pPr>
      <w:r>
        <w:t xml:space="preserve">Tel: +20 3 554 2201 | Email: admin@alnoor-school.eg</w:t>
      </w:r>
    </w:p>
    <w:bookmarkEnd w:id="22"/>
    <w:bookmarkStart w:id="23"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Alexandria Educational Staffing Co. to Al-Noor Integrated School, Alexandria, Egypt, in response to the client's written request dated 28 May 2025 for the recruitment, placement, and ongoing professional support of a qualified</w:t>
      </w:r>
      <w:r>
        <w:t xml:space="preserve"> </w:t>
      </w:r>
      <w:r>
        <w:t xml:space="preserve">Special Education Teacher</w:t>
      </w:r>
      <w:r>
        <w:t xml:space="preserve">. This document outlines the complete scope of services, associated costs, contractual obligations, and terms governing the engagement of the</w:t>
      </w:r>
      <w:r>
        <w:t xml:space="preserve"> </w:t>
      </w:r>
      <w:r>
        <w:t xml:space="preserve">Special Education Teacher</w:t>
      </w:r>
      <w:r>
        <w:t xml:space="preserve"> </w:t>
      </w:r>
      <w:r>
        <w:t xml:space="preserve">within the educational framework of</w:t>
      </w:r>
      <w:r>
        <w:t xml:space="preserve"> </w:t>
      </w:r>
      <w:r>
        <w:t xml:space="preserve">Egypt Alexandria</w:t>
      </w:r>
      <w:r>
        <w:t xml:space="preserve">. All pricing and service descriptions contained herein are specific to the operational context of</w:t>
      </w:r>
      <w:r>
        <w:t xml:space="preserve"> </w:t>
      </w:r>
      <w:r>
        <w:t xml:space="preserve">Egypt Alexandria</w:t>
      </w:r>
      <w:r>
        <w:t xml:space="preserve"> </w:t>
      </w:r>
      <w:r>
        <w:t xml:space="preserve">and comply with the regulations set forth by the Egyptian Ministry of Education and the Alexandria Governorate's educational authority.</w:t>
      </w:r>
    </w:p>
    <w:bookmarkEnd w:id="23"/>
    <w:bookmarkStart w:id="24" w:name="X9c4872d4a7d8b982c0cca2a171931f685f82828"/>
    <w:p>
      <w:pPr>
        <w:pStyle w:val="Heading3"/>
      </w:pPr>
      <w:r>
        <w:t xml:space="preserve">2. Scope of Services — Special Education Teacher Placement</w:t>
      </w:r>
    </w:p>
    <w:p>
      <w:pPr>
        <w:pStyle w:val="FirstParagraph"/>
      </w:pPr>
      <w:r>
        <w:t xml:space="preserve">The</w:t>
      </w:r>
      <w:r>
        <w:t xml:space="preserve"> </w:t>
      </w:r>
      <w:r>
        <w:t xml:space="preserve">Special Education Teacher</w:t>
      </w:r>
      <w:r>
        <w:t xml:space="preserve"> </w:t>
      </w:r>
      <w:r>
        <w:t xml:space="preserve">engaged under this</w:t>
      </w:r>
      <w:r>
        <w:t xml:space="preserve"> </w:t>
      </w:r>
      <w:r>
        <w:t xml:space="preserve">Quotation Estimate</w:t>
      </w:r>
      <w:r>
        <w:t xml:space="preserve"> </w:t>
      </w:r>
      <w:r>
        <w:t xml:space="preserve">shall provide comprehensive instructional and therapeutic support to students with diverse learning needs, including but not limited to autism spectrum disorder, intellectual disabilities, attention deficit hyperactivity disorder (ADHD), dyslexia, and physical impairments. The</w:t>
      </w:r>
      <w:r>
        <w:t xml:space="preserve"> </w:t>
      </w:r>
      <w:r>
        <w:t xml:space="preserve">Special Education Teacher</w:t>
      </w:r>
      <w:r>
        <w:t xml:space="preserve"> </w:t>
      </w:r>
      <w:r>
        <w:t xml:space="preserve">will be stationed at the client's premises in the Montazah District of</w:t>
      </w:r>
      <w:r>
        <w:t xml:space="preserve"> </w:t>
      </w:r>
      <w:r>
        <w:t xml:space="preserve">Egypt Alexandria</w:t>
      </w:r>
      <w:r>
        <w:t xml:space="preserve"> </w:t>
      </w:r>
      <w:r>
        <w:t xml:space="preserve">and will operate under the direct supervision of the school's academic administration.</w:t>
      </w:r>
    </w:p>
    <w:p>
      <w:pPr>
        <w:pStyle w:val="BodyText"/>
      </w:pPr>
      <w:r>
        <w:t xml:space="preserve">Key responsibilities of the</w:t>
      </w:r>
      <w:r>
        <w:t xml:space="preserve"> </w:t>
      </w:r>
      <w:r>
        <w:t xml:space="preserve">Special Education Teacher</w:t>
      </w:r>
      <w:r>
        <w:t xml:space="preserve"> </w:t>
      </w:r>
      <w:r>
        <w:t xml:space="preserve">include:</w:t>
      </w:r>
    </w:p>
    <w:p>
      <w:pPr>
        <w:numPr>
          <w:ilvl w:val="0"/>
          <w:numId w:val="1001"/>
        </w:numPr>
        <w:pStyle w:val="Compact"/>
      </w:pPr>
      <w:r>
        <w:t xml:space="preserve">Designing and implementing individualized education programs (IEPs) tailored to each student's unique developmental profile.</w:t>
      </w:r>
    </w:p>
    <w:p>
      <w:pPr>
        <w:numPr>
          <w:ilvl w:val="0"/>
          <w:numId w:val="1001"/>
        </w:numPr>
        <w:pStyle w:val="Compact"/>
      </w:pPr>
      <w:r>
        <w:t xml:space="preserve">Conducting one-on-one and small-group instructional sessions (minimum 25 hours per week).</w:t>
      </w:r>
    </w:p>
    <w:p>
      <w:pPr>
        <w:numPr>
          <w:ilvl w:val="0"/>
          <w:numId w:val="1001"/>
        </w:numPr>
        <w:pStyle w:val="Compact"/>
      </w:pPr>
      <w:r>
        <w:t xml:space="preserve">Collaborating with general education teachers, school psychologists, and parents to ensure holistic student development.</w:t>
      </w:r>
    </w:p>
    <w:p>
      <w:pPr>
        <w:numPr>
          <w:ilvl w:val="0"/>
          <w:numId w:val="1001"/>
        </w:numPr>
        <w:pStyle w:val="Compact"/>
      </w:pPr>
      <w:r>
        <w:t xml:space="preserve">Maintaining detailed progress records and submitting monthly assessment reports to the school administration.</w:t>
      </w:r>
    </w:p>
    <w:p>
      <w:pPr>
        <w:numPr>
          <w:ilvl w:val="0"/>
          <w:numId w:val="1001"/>
        </w:numPr>
        <w:pStyle w:val="Compact"/>
      </w:pPr>
      <w:r>
        <w:t xml:space="preserve">Participating in quarterly professional development workshops organized by the Alexandria Governorate's Special Education Directorate.</w:t>
      </w:r>
    </w:p>
    <w:p>
      <w:pPr>
        <w:numPr>
          <w:ilvl w:val="0"/>
          <w:numId w:val="1001"/>
        </w:numPr>
        <w:pStyle w:val="Compact"/>
      </w:pPr>
      <w:r>
        <w:t xml:space="preserve">Providing behavioral intervention strategies and classroom management techniques aligned with Egyptian national curriculum standards.</w:t>
      </w:r>
    </w:p>
    <w:bookmarkEnd w:id="24"/>
    <w:bookmarkStart w:id="25" w:name="Xac5db0426cd7121006b6bfac6f0fe4dac7ad82e"/>
    <w:p>
      <w:pPr>
        <w:pStyle w:val="Heading3"/>
      </w:pPr>
      <w:r>
        <w:t xml:space="preserve">3. Qualification Requirements for the Special Education Teacher</w:t>
      </w:r>
    </w:p>
    <w:p>
      <w:pPr>
        <w:pStyle w:val="FirstParagraph"/>
      </w:pPr>
      <w:r>
        <w:t xml:space="preserve">The</w:t>
      </w:r>
      <w:r>
        <w:t xml:space="preserve"> </w:t>
      </w:r>
      <w:r>
        <w:t xml:space="preserve">Special Education Teacher</w:t>
      </w:r>
      <w:r>
        <w:t xml:space="preserve"> </w:t>
      </w:r>
      <w:r>
        <w:t xml:space="preserve">placed under this</w:t>
      </w:r>
      <w:r>
        <w:t xml:space="preserve"> </w:t>
      </w:r>
      <w:r>
        <w:t xml:space="preserve">Quotation Estimate</w:t>
      </w:r>
      <w:r>
        <w:t xml:space="preserve"> </w:t>
      </w:r>
      <w:r>
        <w:t xml:space="preserve">must hold a minimum of a Bachelor's degree in Special Education from an accredited Egyptian university (e.g., Alexandria University, Cairo University, or Ain Shams University) and possess a valid teaching license issued by the Egyptian Ministry of Education. A Master's degree in Special Education or a related field is strongly preferred. The candidate must demonstrate a minimum of five (5) years of documented experience working with special needs students in the</w:t>
      </w:r>
      <w:r>
        <w:t xml:space="preserve"> </w:t>
      </w:r>
      <w:r>
        <w:t xml:space="preserve">Egypt Alexandria</w:t>
      </w:r>
      <w:r>
        <w:t xml:space="preserve"> </w:t>
      </w:r>
      <w:r>
        <w:t xml:space="preserve">region or equivalent educational settings. Fluency in Arabic is mandatory, and working proficiency in English is required for curriculum documentation and international reporting purposes.</w:t>
      </w:r>
    </w:p>
    <w:bookmarkEnd w:id="25"/>
    <w:bookmarkStart w:id="26" w:name="X99c9499de5c98ccaacfa8f1f6f8363d33ed1c39"/>
    <w:p>
      <w:pPr>
        <w:pStyle w:val="Heading3"/>
      </w:pPr>
      <w:r>
        <w:t xml:space="preserve">4. Financial Breakdown — Quotation Estimate Pricing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Duration</w:t>
            </w:r>
          </w:p>
        </w:tc>
        <w:tc>
          <w:tcPr/>
          <w:p>
            <w:pPr>
              <w:pStyle w:val="Compact"/>
              <w:jc w:val="left"/>
            </w:pPr>
            <w:r>
              <w:t xml:space="preserve">Unit Cost (EGP)</w:t>
            </w:r>
          </w:p>
        </w:tc>
        <w:tc>
          <w:tcPr/>
          <w:p>
            <w:pPr>
              <w:pStyle w:val="Compact"/>
              <w:jc w:val="left"/>
            </w:pPr>
            <w:r>
              <w:t xml:space="preserve">Total (EGP)</w:t>
            </w:r>
          </w:p>
        </w:tc>
      </w:tr>
      <w:tr>
        <w:tc>
          <w:tcPr/>
          <w:p>
            <w:pPr>
              <w:pStyle w:val="Compact"/>
              <w:jc w:val="left"/>
            </w:pPr>
            <w:r>
              <w:t xml:space="preserve">Recruitment, screening, and placement of Special Education Teacher</w:t>
            </w:r>
          </w:p>
        </w:tc>
        <w:tc>
          <w:tcPr/>
          <w:p>
            <w:pPr>
              <w:pStyle w:val="Compact"/>
              <w:jc w:val="left"/>
            </w:pPr>
            <w:r>
              <w:t xml:space="preserve">One-time</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Monthly salary and statutory benefits for Special Education Teacher</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216,000</w:t>
            </w:r>
          </w:p>
        </w:tc>
      </w:tr>
      <w:tr>
        <w:tc>
          <w:tcPr/>
          <w:p>
            <w:pPr>
              <w:pStyle w:val="Compact"/>
              <w:jc w:val="left"/>
            </w:pPr>
            <w:r>
              <w:t xml:space="preserve">Professional development and certification renewal (Alexandria Governorate workshops)</w:t>
            </w:r>
          </w:p>
        </w:tc>
        <w:tc>
          <w:tcPr/>
          <w:p>
            <w:pPr>
              <w:pStyle w:val="Compact"/>
              <w:jc w:val="left"/>
            </w:pPr>
            <w:r>
              <w:t xml:space="preserve">Annual</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Supervisory oversight and quarterly performance evaluation by staffing coordinator</w:t>
            </w:r>
          </w:p>
        </w:tc>
        <w:tc>
          <w:tcPr/>
          <w:p>
            <w:pPr>
              <w:pStyle w:val="Compact"/>
              <w:jc w:val="left"/>
            </w:pPr>
            <w:r>
              <w:t xml:space="preserve">12 months</w:t>
            </w:r>
          </w:p>
        </w:tc>
        <w:tc>
          <w:tcPr/>
          <w:p>
            <w:pPr>
              <w:pStyle w:val="Compact"/>
              <w:jc w:val="left"/>
            </w:pPr>
            <w:r>
              <w:t xml:space="preserve">3,500 / quarter</w:t>
            </w:r>
          </w:p>
        </w:tc>
        <w:tc>
          <w:tcPr/>
          <w:p>
            <w:pPr>
              <w:pStyle w:val="Compact"/>
              <w:jc w:val="left"/>
            </w:pPr>
            <w:r>
              <w:t xml:space="preserve">14,000</w:t>
            </w:r>
          </w:p>
        </w:tc>
      </w:tr>
      <w:tr>
        <w:tc>
          <w:tcPr/>
          <w:p>
            <w:pPr>
              <w:pStyle w:val="Compact"/>
              <w:jc w:val="left"/>
            </w:pPr>
            <w:r>
              <w:t xml:space="preserve">Administrative support, contract management, and compliance with Egyptian labor law</w:t>
            </w:r>
          </w:p>
        </w:tc>
        <w:tc>
          <w:tcPr/>
          <w:p>
            <w:pPr>
              <w:pStyle w:val="Compact"/>
              <w:jc w:val="left"/>
            </w:pPr>
            <w:r>
              <w:t xml:space="preserve">12 months</w:t>
            </w:r>
          </w:p>
        </w:tc>
        <w:tc>
          <w:tcPr/>
          <w:p>
            <w:pPr>
              <w:pStyle w:val="Compact"/>
              <w:jc w:val="left"/>
            </w:pPr>
            <w:r>
              <w:t xml:space="preserve">2,800 / month</w:t>
            </w:r>
          </w:p>
        </w:tc>
        <w:tc>
          <w:tcPr/>
          <w:p>
            <w:pPr>
              <w:pStyle w:val="Compact"/>
              <w:jc w:val="left"/>
            </w:pPr>
            <w:r>
              <w:t xml:space="preserve">33,600</w:t>
            </w:r>
          </w:p>
        </w:tc>
      </w:tr>
      <w:tr>
        <w:tc>
          <w:tcPr/>
          <w:p>
            <w:pPr>
              <w:pStyle w:val="Compact"/>
              <w:jc w:val="left"/>
            </w:pPr>
            <w:r>
              <w:t xml:space="preserve">Contingency fund for temporary replacement (up to 10 working days)</w:t>
            </w:r>
          </w:p>
        </w:tc>
        <w:tc>
          <w:tcPr/>
          <w:p>
            <w:pPr>
              <w:pStyle w:val="Compact"/>
              <w:jc w:val="left"/>
            </w:pPr>
            <w:r>
              <w:t xml:space="preserve">Annual</w:t>
            </w:r>
          </w:p>
        </w:tc>
        <w:tc>
          <w:tcPr/>
          <w:p>
            <w:pPr>
              <w:pStyle w:val="Compact"/>
              <w:jc w:val="left"/>
            </w:pPr>
            <w:r>
              <w:t xml:space="preserve">8,000</w:t>
            </w:r>
          </w:p>
        </w:tc>
        <w:tc>
          <w:tcPr/>
          <w:p>
            <w:pPr>
              <w:pStyle w:val="Compact"/>
              <w:jc w:val="left"/>
            </w:pPr>
            <w:r>
              <w:t xml:space="preserve">8,000</w:t>
            </w:r>
          </w:p>
        </w:tc>
      </w:tr>
      <w:tr>
        <w:tc>
          <w:tcPr>
            <w:gridSpan w:val="3"/>
          </w:tcPr>
          <w:p>
            <w:pPr>
              <w:pStyle w:val="Compact"/>
              <w:jc w:val="left"/>
            </w:pPr>
            <w:r>
              <w:t xml:space="preserve">TOTAL QUOTATION ESTIMATE (Before VAT)</w:t>
            </w:r>
          </w:p>
        </w:tc>
        <w:tc>
          <w:tcPr/>
          <w:p>
            <w:pPr>
              <w:pStyle w:val="Compact"/>
              <w:jc w:val="left"/>
            </w:pPr>
            <w:r>
              <w:t xml:space="preserve">288,300</w:t>
            </w:r>
          </w:p>
        </w:tc>
      </w:tr>
      <w:tr>
        <w:tc>
          <w:tcPr>
            <w:gridSpan w:val="3"/>
          </w:tcPr>
          <w:p>
            <w:pPr>
              <w:pStyle w:val="Compact"/>
              <w:jc w:val="left"/>
            </w:pPr>
            <w:r>
              <w:t xml:space="preserve">Value Added Tax (VAT) — 14% (Egyptian Tax Authority)</w:t>
            </w:r>
          </w:p>
        </w:tc>
        <w:tc>
          <w:tcPr/>
          <w:p>
            <w:pPr>
              <w:pStyle w:val="Compact"/>
              <w:jc w:val="left"/>
            </w:pPr>
            <w:r>
              <w:t xml:space="preserve">40,362</w:t>
            </w:r>
          </w:p>
        </w:tc>
      </w:tr>
      <w:tr>
        <w:tc>
          <w:tcPr>
            <w:gridSpan w:val="3"/>
          </w:tcPr>
          <w:p>
            <w:pPr>
              <w:pStyle w:val="Compact"/>
              <w:jc w:val="left"/>
            </w:pPr>
            <w:r>
              <w:t xml:space="preserve">GRAND TOTAL (Incl. VAT)</w:t>
            </w:r>
          </w:p>
        </w:tc>
        <w:tc>
          <w:tcPr/>
          <w:p>
            <w:pPr>
              <w:pStyle w:val="Compact"/>
              <w:jc w:val="left"/>
            </w:pPr>
            <w:r>
              <w:t xml:space="preserve">328,662</w:t>
            </w:r>
          </w:p>
        </w:tc>
      </w:tr>
    </w:tbl>
    <w:p>
      <w:pPr>
        <w:pStyle w:val="BodyText"/>
      </w:pPr>
      <w:r>
        <w:t xml:space="preserve">All monetary values in this</w:t>
      </w:r>
      <w:r>
        <w:t xml:space="preserve"> </w:t>
      </w:r>
      <w:r>
        <w:t xml:space="preserve">Quotation Estimate</w:t>
      </w:r>
      <w:r>
        <w:t xml:space="preserve"> </w:t>
      </w:r>
      <w:r>
        <w:t xml:space="preserve">are expressed in Egyptian Pounds (EGP) and are subject to the prevailing exchange rates and tax regulations in</w:t>
      </w:r>
      <w:r>
        <w:t xml:space="preserve"> </w:t>
      </w:r>
      <w:r>
        <w:t xml:space="preserve">Egypt Alexandria</w:t>
      </w:r>
      <w:r>
        <w:t xml:space="preserve"> </w:t>
      </w:r>
      <w:r>
        <w:t xml:space="preserve">at the time of invoicing.</w:t>
      </w:r>
    </w:p>
    <w:bookmarkEnd w:id="26"/>
    <w:bookmarkStart w:id="27" w:name="payment-terms"/>
    <w:p>
      <w:pPr>
        <w:pStyle w:val="Heading3"/>
      </w:pPr>
      <w:r>
        <w:t xml:space="preserve">5. Payment Terms</w:t>
      </w:r>
    </w:p>
    <w:p>
      <w:pPr>
        <w:pStyle w:val="FirstParagraph"/>
      </w:pPr>
      <w:r>
        <w:t xml:space="preserve">Payment for the services outlined in this</w:t>
      </w:r>
      <w:r>
        <w:t xml:space="preserve"> </w:t>
      </w:r>
      <w:r>
        <w:t xml:space="preserve">Quotation Estimate</w:t>
      </w:r>
      <w:r>
        <w:t xml:space="preserve"> </w:t>
      </w:r>
      <w:r>
        <w:t xml:space="preserve">shall be structured as follows: a non-refundable deposit of 20% (EGP 65,732.40) due upon signed acceptance of this document; the remaining 80% shall be invoiced monthly in arrears within five (5) business days of the end of each calendar month. Payment shall be made via bank transfer to the account of Alexandria Educational Staffing Co. at Banque Misr, Alexandria Branch. Late payments shall incur a penalty of 2% per month as stipulated under Egyptian commercial law.</w:t>
      </w:r>
    </w:p>
    <w:bookmarkEnd w:id="27"/>
    <w:bookmarkStart w:id="28" w:name="terms-and-conditions"/>
    <w:p>
      <w:pPr>
        <w:pStyle w:val="Heading3"/>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and availability of the</w:t>
      </w:r>
      <w:r>
        <w:t xml:space="preserve"> </w:t>
      </w:r>
      <w:r>
        <w:t xml:space="preserve">Special Education Teacher</w:t>
      </w:r>
      <w:r>
        <w:t xml:space="preserve"> </w:t>
      </w:r>
      <w:r>
        <w:t xml:space="preserve">may be subject to revision.</w:t>
      </w:r>
    </w:p>
    <w:p>
      <w:pPr>
        <w:numPr>
          <w:ilvl w:val="0"/>
          <w:numId w:val="1002"/>
        </w:numPr>
        <w:pStyle w:val="Compact"/>
      </w:pPr>
      <w:r>
        <w:t xml:space="preserve">The engagement of the</w:t>
      </w:r>
      <w:r>
        <w:t xml:space="preserve"> </w:t>
      </w:r>
      <w:r>
        <w:t xml:space="preserve">Special Education Teacher</w:t>
      </w:r>
      <w:r>
        <w:t xml:space="preserve"> </w:t>
      </w:r>
      <w:r>
        <w:t xml:space="preserve">is governed by the Egyptian Labor Law No. 12 of 2003 and all applicable regulations of the Alexandria Governorate's educational sector.</w:t>
      </w:r>
    </w:p>
    <w:p>
      <w:pPr>
        <w:numPr>
          <w:ilvl w:val="0"/>
          <w:numId w:val="1002"/>
        </w:numPr>
        <w:pStyle w:val="Compact"/>
      </w:pPr>
      <w:r>
        <w:t xml:space="preserve">Either party may terminate the agreement with a written notice of thirty (30) days. In the event of early termination by the client, a pro-rata charge for the remaining contract period shall apply.</w:t>
      </w:r>
    </w:p>
    <w:p>
      <w:pPr>
        <w:numPr>
          <w:ilvl w:val="0"/>
          <w:numId w:val="1002"/>
        </w:numPr>
        <w:pStyle w:val="Compact"/>
      </w:pPr>
      <w:r>
        <w:t xml:space="preserve">The</w:t>
      </w:r>
      <w:r>
        <w:t xml:space="preserve"> </w:t>
      </w:r>
      <w:r>
        <w:t xml:space="preserve">Special Education Teacher</w:t>
      </w:r>
      <w:r>
        <w:t xml:space="preserve"> </w:t>
      </w:r>
      <w:r>
        <w:t xml:space="preserve">shall be bound by a strict confidentiality agreement regarding all student records, medical information, and institutional data encountered during service delivery in</w:t>
      </w:r>
      <w:r>
        <w:t xml:space="preserve"> </w:t>
      </w:r>
      <w:r>
        <w:t xml:space="preserve">Egypt Alexandria</w:t>
      </w:r>
      <w:r>
        <w:t xml:space="preserve">.</w:t>
      </w:r>
    </w:p>
    <w:p>
      <w:pPr>
        <w:numPr>
          <w:ilvl w:val="0"/>
          <w:numId w:val="1002"/>
        </w:numPr>
        <w:pStyle w:val="Compact"/>
      </w:pPr>
      <w:r>
        <w:t xml:space="preserve">Any disputes arising from this</w:t>
      </w:r>
      <w:r>
        <w:t xml:space="preserve"> </w:t>
      </w:r>
      <w:r>
        <w:t xml:space="preserve">Quotation Estimate</w:t>
      </w:r>
      <w:r>
        <w:t xml:space="preserve"> </w:t>
      </w:r>
      <w:r>
        <w:t xml:space="preserve">shall be resolved through amicable negotiation, failing which they shall be submitted to the competent courts of Alexandria, Egypt.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the initial deposit has been received.</w:t>
      </w:r>
    </w:p>
    <w:bookmarkEnd w:id="28"/>
    <w:bookmarkStart w:id="31" w:name="acceptance-and-authorization"/>
    <w:p>
      <w:pPr>
        <w:pStyle w:val="Heading3"/>
      </w:pPr>
      <w:r>
        <w:t xml:space="preserve">7. Acceptance and Authorization</w:t>
      </w:r>
    </w:p>
    <w:p>
      <w:pPr>
        <w:pStyle w:val="FirstParagraph"/>
      </w:pPr>
      <w:r>
        <w:t xml:space="preserve">By signing below, both parties acknowledge that they have read, understood, and agree to all terms, conditions, and financial obligations set forth in this</w:t>
      </w:r>
      <w:r>
        <w:t xml:space="preserve"> </w:t>
      </w:r>
      <w:r>
        <w:t xml:space="preserve">Quotation Estimate</w:t>
      </w:r>
      <w:r>
        <w:t xml:space="preserve"> </w:t>
      </w:r>
      <w:r>
        <w:t xml:space="preserve">for the placement of a</w:t>
      </w:r>
      <w:r>
        <w:t xml:space="preserve"> </w:t>
      </w:r>
      <w:r>
        <w:t xml:space="preserve">Special Education Teacher</w:t>
      </w:r>
      <w:r>
        <w:t xml:space="preserve"> </w:t>
      </w:r>
      <w:r>
        <w:t xml:space="preserve">in</w:t>
      </w:r>
      <w:r>
        <w:t xml:space="preserve"> </w:t>
      </w:r>
      <w:r>
        <w:t xml:space="preserve">Egypt Alexandria</w:t>
      </w:r>
      <w:r>
        <w:t xml:space="preserve">.</w:t>
      </w:r>
    </w:p>
    <w:bookmarkStart w:id="29" w:name="for-alexandria-educational-staffing-co."/>
    <w:p>
      <w:pPr>
        <w:pStyle w:val="Heading4"/>
      </w:pPr>
      <w:r>
        <w:t xml:space="preserve">For: Alexandria Educational Staffing Co.</w:t>
      </w:r>
    </w:p>
    <w:p>
      <w:pPr>
        <w:pStyle w:val="FirstParagraph"/>
      </w:pPr>
      <w:r>
        <w:t xml:space="preserve">Name: Mr. Tarek Mahmoud</w:t>
      </w:r>
    </w:p>
    <w:p>
      <w:pPr>
        <w:pStyle w:val="BodyText"/>
      </w:pPr>
      <w:r>
        <w:t xml:space="preserve">Title: General Manager</w:t>
      </w:r>
    </w:p>
    <w:p>
      <w:pPr>
        <w:pStyle w:val="BodyText"/>
      </w:pPr>
      <w:r>
        <w:t xml:space="preserve">Signature &amp; Date</w:t>
      </w:r>
    </w:p>
    <w:bookmarkEnd w:id="29"/>
    <w:bookmarkStart w:id="30" w:name="for-al-noor-integrated-school"/>
    <w:p>
      <w:pPr>
        <w:pStyle w:val="Heading4"/>
      </w:pPr>
      <w:r>
        <w:t xml:space="preserve">For: Al-Noor Integrated School</w:t>
      </w:r>
    </w:p>
    <w:p>
      <w:pPr>
        <w:pStyle w:val="FirstParagraph"/>
      </w:pPr>
      <w:r>
        <w:t xml:space="preserve">Name: Dr. Hana El-Sayed</w:t>
      </w:r>
    </w:p>
    <w:p>
      <w:pPr>
        <w:pStyle w:val="BodyText"/>
      </w:pPr>
      <w:r>
        <w:t xml:space="preserve">Title: Principal</w:t>
      </w:r>
    </w:p>
    <w:p>
      <w:pPr>
        <w:pStyle w:val="BodyText"/>
      </w:pPr>
      <w:r>
        <w:t xml:space="preserve">Signature &amp; Date</w:t>
      </w:r>
    </w:p>
    <w:bookmarkEnd w:id="30"/>
    <w:p>
      <w:pPr>
        <w:pStyle w:val="BodyText"/>
      </w:pPr>
      <w:r>
        <w:t xml:space="preserve">Alexandria Educational Staffing Co. — 142 Corniche El-Nil, Smouha, Alexandria, Egypt</w:t>
      </w:r>
    </w:p>
    <w:p>
      <w:pPr>
        <w:pStyle w:val="BodyText"/>
      </w:pPr>
      <w:r>
        <w:t xml:space="preserve">Quotation Estimate No. QTE-EGY-ALX-2025-0472 | Page 1 of 1</w:t>
      </w:r>
    </w:p>
    <w:p>
      <w:pPr>
        <w:pStyle w:val="BodyText"/>
      </w:pPr>
      <w:r>
        <w:t xml:space="preserve">This document is the property of Alexandria Educational Staffing Co. and is intended solely for the named client. Unauthorized reproduction or distribution is prohibited under Egyptian intellectual property law.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Egypt Alexandria</dc:title>
  <dc:creator/>
  <dc:language>en</dc:language>
  <cp:keywords/>
  <dcterms:created xsi:type="dcterms:W3CDTF">2026-10-10T01:58:56Z</dcterms:created>
  <dcterms:modified xsi:type="dcterms:W3CDTF">2026-10-10T01:58:56Z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