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Cairo, Egypt — Comprehensive Communication &amp; Language Therapy</w:t>
      </w:r>
    </w:p>
    <w:bookmarkEnd w:id="20"/>
    <w:p>
      <w:pPr>
        <w:pStyle w:val="BodyText"/>
      </w:pPr>
      <w:r>
        <w:rPr>
          <w:bCs/>
          <w:b/>
        </w:rPr>
        <w:t xml:space="preserve">Quotation No.:</w:t>
      </w:r>
      <w:r>
        <w:t xml:space="preserve"> </w:t>
      </w:r>
      <w:r>
        <w:t xml:space="preserve">QTE-EGY-CAI-2025-0417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Nour El-Sayed, M.S. Speech-Language Pathology</w:t>
      </w:r>
      <w:r>
        <w:br/>
      </w:r>
      <w:r>
        <w:rPr>
          <w:bCs/>
          <w:b/>
        </w:rPr>
        <w:t xml:space="preserve">Clinic:</w:t>
      </w:r>
      <w:r>
        <w:t xml:space="preserve"> </w:t>
      </w:r>
      <w:r>
        <w:t xml:space="preserve">Nile Delta Communication &amp; Speech Center</w:t>
      </w:r>
      <w:r>
        <w:br/>
      </w:r>
      <w:r>
        <w:rPr>
          <w:bCs/>
          <w:b/>
        </w:rPr>
        <w:t xml:space="preserve">Location:</w:t>
      </w:r>
      <w:r>
        <w:t xml:space="preserve"> </w:t>
      </w:r>
      <w:r>
        <w:t xml:space="preserve">42 El-Tahrir Street, Downtown, Cairo, Egypt</w:t>
      </w:r>
      <w:r>
        <w:br/>
      </w:r>
      <w:r>
        <w:rPr>
          <w:bCs/>
          <w:b/>
        </w:rPr>
        <w:t xml:space="preserve">Phone:</w:t>
      </w:r>
      <w:r>
        <w:t xml:space="preserve"> </w:t>
      </w:r>
      <w:r>
        <w:t xml:space="preserve">+20 2 2578 4432</w:t>
      </w:r>
      <w:r>
        <w:br/>
      </w:r>
      <w:r>
        <w:rPr>
          <w:bCs/>
          <w:b/>
        </w:rPr>
        <w:t xml:space="preserve">Email:</w:t>
      </w:r>
      <w:r>
        <w:t xml:space="preserve"> </w:t>
      </w:r>
      <w:r>
        <w:t xml:space="preserve">info@niledeltaspeech.eg</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Referring Institution</w:t>
            </w:r>
          </w:p>
        </w:tc>
        <w:tc>
          <w:tcPr/>
          <w:p>
            <w:pPr>
              <w:pStyle w:val="Compact"/>
              <w:jc w:val="left"/>
            </w:pPr>
            <w:r>
              <w:t xml:space="preserve">Al-Noor Private School, Nasr City, Cairo, Egypt</w:t>
            </w:r>
          </w:p>
        </w:tc>
      </w:tr>
      <w:tr>
        <w:tc>
          <w:tcPr/>
          <w:p>
            <w:pPr>
              <w:pStyle w:val="Compact"/>
              <w:jc w:val="left"/>
            </w:pPr>
            <w:r>
              <w:t xml:space="preserve">Point of Contact</w:t>
            </w:r>
          </w:p>
        </w:tc>
        <w:tc>
          <w:tcPr/>
          <w:p>
            <w:pPr>
              <w:pStyle w:val="Compact"/>
              <w:jc w:val="left"/>
            </w:pPr>
            <w:r>
              <w:t xml:space="preserve">Mr. Ahmed Hassan, Head of Special Education Department</w:t>
            </w:r>
          </w:p>
        </w:tc>
      </w:tr>
      <w:tr>
        <w:tc>
          <w:tcPr/>
          <w:p>
            <w:pPr>
              <w:pStyle w:val="Compact"/>
              <w:jc w:val="left"/>
            </w:pPr>
            <w:r>
              <w:t xml:space="preserve">Number of Students Requiring Therapy</w:t>
            </w:r>
          </w:p>
        </w:tc>
        <w:tc>
          <w:tcPr/>
          <w:p>
            <w:pPr>
              <w:pStyle w:val="Compact"/>
              <w:jc w:val="left"/>
            </w:pPr>
            <w:r>
              <w:t xml:space="preserve">12 students (ages 4–11)</w:t>
            </w:r>
          </w:p>
        </w:tc>
      </w:tr>
      <w:tr>
        <w:tc>
          <w:tcPr/>
          <w:p>
            <w:pPr>
              <w:pStyle w:val="Compact"/>
              <w:jc w:val="left"/>
            </w:pPr>
            <w:r>
              <w:t xml:space="preserve">Diagnosed Conditions</w:t>
            </w:r>
          </w:p>
        </w:tc>
        <w:tc>
          <w:tcPr/>
          <w:p>
            <w:pPr>
              <w:pStyle w:val="Compact"/>
              <w:jc w:val="left"/>
            </w:pPr>
            <w:r>
              <w:t xml:space="preserve">Articulation disorders, childhood apraxia of speech, phonological delays, stuttering, language processing difficulties</w:t>
            </w:r>
          </w:p>
        </w:tc>
      </w:tr>
      <w:tr>
        <w:tc>
          <w:tcPr/>
          <w:p>
            <w:pPr>
              <w:pStyle w:val="Compact"/>
              <w:jc w:val="left"/>
            </w:pPr>
            <w:r>
              <w:t xml:space="preserve">Preferred Service Location</w:t>
            </w:r>
          </w:p>
        </w:tc>
        <w:tc>
          <w:tcPr/>
          <w:p>
            <w:pPr>
              <w:pStyle w:val="Compact"/>
              <w:jc w:val="left"/>
            </w:pPr>
            <w:r>
              <w:t xml:space="preserve">On-site at Al-Noor Private School, Nasr City, Cairo, Egypt</w:t>
            </w:r>
          </w:p>
        </w:tc>
      </w:tr>
    </w:tbl>
    <w:p>
      <w:pPr>
        <w:pStyle w:val="BodyText"/>
      </w:pPr>
      <w:r>
        <w:t xml:space="preserve">2. Scope of Speech Therapist Services</w:t>
      </w:r>
    </w:p>
    <w:p>
      <w:pPr>
        <w:pStyle w:val="BodyText"/>
      </w:pPr>
      <w:r>
        <w:t xml:space="preserve">This</w:t>
      </w:r>
      <w:r>
        <w:t xml:space="preserve"> </w:t>
      </w:r>
      <w:r>
        <w:t xml:space="preserve">Quotation Estimate</w:t>
      </w:r>
      <w:r>
        <w:t xml:space="preserve"> </w:t>
      </w:r>
      <w:r>
        <w:t xml:space="preserve">outlines the full range of professional services to be delivered by our licensed</w:t>
      </w:r>
      <w:r>
        <w:t xml:space="preserve"> </w:t>
      </w:r>
      <w:r>
        <w:t xml:space="preserve">Speech Therapist</w:t>
      </w:r>
      <w:r>
        <w:t xml:space="preserve"> </w:t>
      </w:r>
      <w:r>
        <w:t xml:space="preserve">team at the Nile Delta Communication &amp; Speech Center, operating within the greater</w:t>
      </w:r>
      <w:r>
        <w:t xml:space="preserve"> </w:t>
      </w:r>
      <w:r>
        <w:t xml:space="preserve">Egypt Cairo</w:t>
      </w:r>
      <w:r>
        <w:t xml:space="preserve"> </w:t>
      </w:r>
      <w:r>
        <w:t xml:space="preserve">metropolitan area. The services are designed to address the individual communication needs of each student identified by the referring institution. All therapy sessions will be conducted in accordance with the standards set by the Egyptian Ministry of Health and Population and the International Association of Logopedics and Phoniatrics (IALP).</w:t>
      </w:r>
    </w:p>
    <w:p>
      <w:pPr>
        <w:pStyle w:val="BodyText"/>
      </w:pPr>
      <w:r>
        <w:t xml:space="preserve">The</w:t>
      </w:r>
      <w:r>
        <w:t xml:space="preserve"> </w:t>
      </w:r>
      <w:r>
        <w:t xml:space="preserve">Speech Therapist</w:t>
      </w:r>
      <w:r>
        <w:t xml:space="preserve"> </w:t>
      </w:r>
      <w:r>
        <w:t xml:space="preserve">assigned to this program will hold a Master’s degree in Speech-Language Pathology, a valid Egyptian medical license, and a minimum of eight years of clinical experience working with pediatric populations in the</w:t>
      </w:r>
      <w:r>
        <w:t xml:space="preserve"> </w:t>
      </w:r>
      <w:r>
        <w:t xml:space="preserve">Egypt Cairo</w:t>
      </w:r>
      <w:r>
        <w:t xml:space="preserve"> </w:t>
      </w:r>
      <w:r>
        <w:t xml:space="preserve">region. The therapist will conduct individualized assessments, develop personalized treatment plans, deliver direct therapy sessions, and provide ongoing progress reports to both the school administration and the students’ parents or guardians.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Subtotal (EGP)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Initial Speech &amp; Language Assessment (per student)</w:t>
            </w:r>
          </w:p>
        </w:tc>
        <w:tc>
          <w:tcPr/>
          <w:p>
            <w:pPr>
              <w:pStyle w:val="Compact"/>
              <w:jc w:val="left"/>
            </w:pPr>
            <w:r>
              <w:t xml:space="preserve">12 students</w:t>
            </w:r>
          </w:p>
        </w:tc>
        <w:tc>
          <w:tcPr/>
          <w:p>
            <w:pPr>
              <w:pStyle w:val="Compact"/>
              <w:jc w:val="left"/>
            </w:pPr>
            <w:r>
              <w:t xml:space="preserve">1,500</w:t>
            </w:r>
          </w:p>
        </w:tc>
        <w:tc>
          <w:tcPr/>
          <w:p>
            <w:pPr>
              <w:pStyle w:val="Compact"/>
              <w:jc w:val="left"/>
            </w:pPr>
            <w:r>
              <w:t xml:space="preserve">18,000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Individualized Therapy Session (45 minutes, per student, per week)</w:t>
            </w:r>
          </w:p>
        </w:tc>
        <w:tc>
          <w:tcPr/>
          <w:p>
            <w:pPr>
              <w:pStyle w:val="Compact"/>
              <w:jc w:val="left"/>
            </w:pPr>
            <w:r>
              <w:t xml:space="preserve">12 students × 36 weeks</w:t>
            </w:r>
          </w:p>
        </w:tc>
        <w:tc>
          <w:tcPr/>
          <w:p>
            <w:pPr>
              <w:pStyle w:val="Compact"/>
              <w:jc w:val="left"/>
            </w:pPr>
            <w:r>
              <w:t xml:space="preserve">450</w:t>
            </w:r>
          </w:p>
        </w:tc>
        <w:tc>
          <w:tcPr/>
          <w:p>
            <w:pPr>
              <w:pStyle w:val="Compact"/>
              <w:jc w:val="left"/>
            </w:pPr>
            <w:r>
              <w:t xml:space="preserve">194,400</w:t>
            </w:r>
          </w:p>
        </w:tc>
        <w:tc>
          <w:tcPr/>
          <w:p>
            <w:pPr>
              <w:pStyle w:val="Compact"/>
              <w:jc w:val="left"/>
            </w:pPr>
            <w:r>
              <w:t xml:space="preserve">36 weeks</w:t>
            </w:r>
          </w:p>
        </w:tc>
      </w:tr>
      <w:tr>
        <w:tc>
          <w:tcPr/>
          <w:p>
            <w:pPr>
              <w:pStyle w:val="Compact"/>
              <w:jc w:val="left"/>
            </w:pPr>
            <w:r>
              <w:t xml:space="preserve">3</w:t>
            </w:r>
          </w:p>
        </w:tc>
        <w:tc>
          <w:tcPr/>
          <w:p>
            <w:pPr>
              <w:pStyle w:val="Compact"/>
              <w:jc w:val="left"/>
            </w:pPr>
            <w:r>
              <w:t xml:space="preserve">Group Therapy Session (up to 4 students, 60 minutes, twice weekly)</w:t>
            </w:r>
          </w:p>
        </w:tc>
        <w:tc>
          <w:tcPr/>
          <w:p>
            <w:pPr>
              <w:pStyle w:val="Compact"/>
              <w:jc w:val="left"/>
            </w:pPr>
            <w:r>
              <w:t xml:space="preserve">6 groups × 36 weeks</w:t>
            </w:r>
          </w:p>
        </w:tc>
        <w:tc>
          <w:tcPr/>
          <w:p>
            <w:pPr>
              <w:pStyle w:val="Compact"/>
              <w:jc w:val="left"/>
            </w:pPr>
            <w:r>
              <w:t xml:space="preserve">800</w:t>
            </w:r>
          </w:p>
        </w:tc>
        <w:tc>
          <w:tcPr/>
          <w:p>
            <w:pPr>
              <w:pStyle w:val="Compact"/>
              <w:jc w:val="left"/>
            </w:pPr>
            <w:r>
              <w:t xml:space="preserve">172,800</w:t>
            </w:r>
          </w:p>
        </w:tc>
        <w:tc>
          <w:tcPr/>
          <w:p>
            <w:pPr>
              <w:pStyle w:val="Compact"/>
              <w:jc w:val="left"/>
            </w:pPr>
            <w:r>
              <w:t xml:space="preserve">36 weeks</w:t>
            </w:r>
          </w:p>
        </w:tc>
      </w:tr>
      <w:tr>
        <w:tc>
          <w:tcPr/>
          <w:p>
            <w:pPr>
              <w:pStyle w:val="Compact"/>
              <w:jc w:val="left"/>
            </w:pPr>
            <w:r>
              <w:t xml:space="preserve">4</w:t>
            </w:r>
          </w:p>
        </w:tc>
        <w:tc>
          <w:tcPr/>
          <w:p>
            <w:pPr>
              <w:pStyle w:val="Compact"/>
              <w:jc w:val="left"/>
            </w:pPr>
            <w:r>
              <w:t xml:space="preserve">Parent / Caregiver Training Workshop (monthly, 2 hours)</w:t>
            </w:r>
          </w:p>
        </w:tc>
        <w:tc>
          <w:tcPr/>
          <w:p>
            <w:pPr>
              <w:pStyle w:val="Compact"/>
              <w:jc w:val="left"/>
            </w:pPr>
            <w:r>
              <w:t xml:space="preserve">9 sessions</w:t>
            </w:r>
          </w:p>
        </w:tc>
        <w:tc>
          <w:tcPr/>
          <w:p>
            <w:pPr>
              <w:pStyle w:val="Compact"/>
              <w:jc w:val="left"/>
            </w:pPr>
            <w:r>
              <w:t xml:space="preserve">2,000</w:t>
            </w:r>
          </w:p>
        </w:tc>
        <w:tc>
          <w:tcPr/>
          <w:p>
            <w:pPr>
              <w:pStyle w:val="Compact"/>
              <w:jc w:val="left"/>
            </w:pPr>
            <w:r>
              <w:t xml:space="preserve">18,000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Teacher Consultation &amp; In-Classroom Strategy Development</w:t>
            </w:r>
          </w:p>
        </w:tc>
        <w:tc>
          <w:tcPr/>
          <w:p>
            <w:pPr>
              <w:pStyle w:val="Compact"/>
              <w:jc w:val="left"/>
            </w:pPr>
            <w:r>
              <w:t xml:space="preserve">12 teachers × 4 sessions</w:t>
            </w:r>
          </w:p>
        </w:tc>
        <w:tc>
          <w:tcPr/>
          <w:p>
            <w:pPr>
              <w:pStyle w:val="Compact"/>
              <w:jc w:val="left"/>
            </w:pPr>
            <w:r>
              <w:t xml:space="preserve">600</w:t>
            </w:r>
          </w:p>
        </w:tc>
        <w:tc>
          <w:tcPr/>
          <w:p>
            <w:pPr>
              <w:pStyle w:val="Compact"/>
              <w:jc w:val="left"/>
            </w:pPr>
            <w:r>
              <w:t xml:space="preserve">28,800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Progress Report &amp; Reassessment (per student, per term)</w:t>
            </w:r>
          </w:p>
        </w:tc>
        <w:tc>
          <w:tcPr/>
          <w:p>
            <w:pPr>
              <w:pStyle w:val="Compact"/>
              <w:jc w:val="left"/>
            </w:pPr>
            <w:r>
              <w:t xml:space="preserve">12 students × 3 terms</w:t>
            </w:r>
          </w:p>
        </w:tc>
        <w:tc>
          <w:tcPr/>
          <w:p>
            <w:pPr>
              <w:pStyle w:val="Compact"/>
              <w:jc w:val="left"/>
            </w:pPr>
            <w:r>
              <w:t xml:space="preserve">800</w:t>
            </w:r>
          </w:p>
        </w:tc>
        <w:tc>
          <w:tcPr/>
          <w:p>
            <w:pPr>
              <w:pStyle w:val="Compact"/>
              <w:jc w:val="left"/>
            </w:pPr>
            <w:r>
              <w:t xml:space="preserve">28,800</w:t>
            </w:r>
          </w:p>
        </w:tc>
        <w:tc>
          <w:tcPr/>
          <w:p>
            <w:pPr>
              <w:pStyle w:val="Compact"/>
              <w:jc w:val="left"/>
            </w:pPr>
            <w:r>
              <w:t xml:space="preserve">Per term</w:t>
            </w:r>
          </w:p>
        </w:tc>
      </w:tr>
      <w:tr>
        <w:tc>
          <w:tcPr/>
          <w:p>
            <w:pPr>
              <w:pStyle w:val="Compact"/>
              <w:jc w:val="left"/>
            </w:pPr>
            <w:r>
              <w:t xml:space="preserve">7</w:t>
            </w:r>
          </w:p>
        </w:tc>
        <w:tc>
          <w:tcPr/>
          <w:p>
            <w:pPr>
              <w:pStyle w:val="Compact"/>
              <w:jc w:val="left"/>
            </w:pPr>
            <w:r>
              <w:t xml:space="preserve">Therapeutic Materials, Augmentative &amp; Alternative Communication (AAC) Tools, and Assessment Instruments</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Travel &amp; Logistics within Cairo, Egypt (on-site visits to Nasr City)</w:t>
            </w:r>
          </w:p>
        </w:tc>
        <w:tc>
          <w:tcPr/>
          <w:p>
            <w:pPr>
              <w:pStyle w:val="Compact"/>
              <w:jc w:val="left"/>
            </w:pPr>
            <w:r>
              <w:t xml:space="preserve">36 weeks</w:t>
            </w:r>
          </w:p>
        </w:tc>
        <w:tc>
          <w:tcPr/>
          <w:p>
            <w:pPr>
              <w:pStyle w:val="Compact"/>
              <w:jc w:val="left"/>
            </w:pPr>
            <w:r>
              <w:t xml:space="preserve">500</w:t>
            </w:r>
          </w:p>
        </w:tc>
        <w:tc>
          <w:tcPr/>
          <w:p>
            <w:pPr>
              <w:pStyle w:val="Compact"/>
              <w:jc w:val="left"/>
            </w:pPr>
            <w:r>
              <w:t xml:space="preserve">18,000</w:t>
            </w:r>
          </w:p>
        </w:tc>
        <w:tc>
          <w:tcPr/>
          <w:p>
            <w:pPr>
              <w:pStyle w:val="Compact"/>
              <w:jc w:val="left"/>
            </w:pPr>
            <w:r>
              <w:t xml:space="preserve">Weekly</w:t>
            </w:r>
          </w:p>
        </w:tc>
      </w:tr>
      <w:tr>
        <w:tc>
          <w:tcPr>
            <w:gridSpan w:val="4"/>
          </w:tcPr>
          <w:p>
            <w:pPr>
              <w:pStyle w:val="Compact"/>
              <w:jc w:val="left"/>
            </w:pPr>
            <w:r>
              <w:t xml:space="preserve">TOTAL ESTIMATED COST (EGP)</w:t>
            </w:r>
          </w:p>
        </w:tc>
        <w:tc>
          <w:tcPr/>
          <w:p>
            <w:pPr>
              <w:pStyle w:val="Compact"/>
              <w:jc w:val="left"/>
            </w:pPr>
            <w:r>
              <w:t xml:space="preserve">493,800</w:t>
            </w:r>
          </w:p>
        </w:tc>
        <w:tc>
          <w:tcPr/>
          <w:p>
            <w:pPr>
              <w:pStyle w:val="Compact"/>
            </w:pPr>
          </w:p>
        </w:tc>
      </w:tr>
      <w:tr>
        <w:tc>
          <w:tcPr>
            <w:gridSpan w:val="4"/>
          </w:tcPr>
          <w:p>
            <w:pPr>
              <w:pStyle w:val="Compact"/>
              <w:jc w:val="left"/>
            </w:pPr>
            <w:r>
              <w:t xml:space="preserve">VAT (14% — Egyptian Tax Authority)</w:t>
            </w:r>
          </w:p>
        </w:tc>
        <w:tc>
          <w:tcPr/>
          <w:p>
            <w:pPr>
              <w:pStyle w:val="Compact"/>
              <w:jc w:val="left"/>
            </w:pPr>
            <w:r>
              <w:t xml:space="preserve">69,132</w:t>
            </w:r>
          </w:p>
        </w:tc>
        <w:tc>
          <w:tcPr/>
          <w:p>
            <w:pPr>
              <w:pStyle w:val="Compact"/>
            </w:pPr>
          </w:p>
        </w:tc>
      </w:tr>
      <w:tr>
        <w:tc>
          <w:tcPr>
            <w:gridSpan w:val="4"/>
          </w:tcPr>
          <w:p>
            <w:pPr>
              <w:pStyle w:val="Compact"/>
              <w:jc w:val="left"/>
            </w:pPr>
            <w:r>
              <w:t xml:space="preserve">GRAND TOTAL (EGP)</w:t>
            </w:r>
          </w:p>
        </w:tc>
        <w:tc>
          <w:tcPr/>
          <w:p>
            <w:pPr>
              <w:pStyle w:val="Compact"/>
              <w:jc w:val="left"/>
            </w:pPr>
            <w:r>
              <w:t xml:space="preserve">562,932</w:t>
            </w:r>
          </w:p>
        </w:tc>
        <w:tc>
          <w:tcPr/>
          <w:p>
            <w:pPr>
              <w:pStyle w:val="Compact"/>
            </w:pP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Egyptian Pounds (EGP) and are subject to the prevailing exchange rate. The</w:t>
      </w:r>
      <w:r>
        <w:t xml:space="preserve"> </w:t>
      </w:r>
      <w:r>
        <w:t xml:space="preserve">Speech Therapist</w:t>
      </w:r>
      <w:r>
        <w:t xml:space="preserve"> </w:t>
      </w:r>
      <w:r>
        <w:t xml:space="preserve">fees include all professional clinical time, case documentation, and inter-disciplinary coordination. Travel costs cover transportation within the</w:t>
      </w:r>
      <w:r>
        <w:t xml:space="preserve"> </w:t>
      </w:r>
      <w:r>
        <w:t xml:space="preserve">Egypt Cairo</w:t>
      </w:r>
      <w:r>
        <w:t xml:space="preserve"> </w:t>
      </w:r>
      <w:r>
        <w:t xml:space="preserve">metropolitan area only.</w:t>
      </w:r>
    </w:p>
    <w:p>
      <w:pPr>
        <w:pStyle w:val="BodyText"/>
      </w:pPr>
      <w:r>
        <w:t xml:space="preserve">4. Payment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(EGP)</w:t>
            </w:r>
          </w:p>
        </w:tc>
        <w:tc>
          <w:tcPr/>
          <w:p>
            <w:pPr>
              <w:pStyle w:val="Compact"/>
              <w:jc w:val="left"/>
            </w:pPr>
            <w:r>
              <w:t xml:space="preserve">Due Date</w:t>
            </w:r>
          </w:p>
        </w:tc>
      </w:tr>
      <w:tr>
        <w:tc>
          <w:tcPr/>
          <w:p>
            <w:pPr>
              <w:pStyle w:val="Compact"/>
              <w:jc w:val="left"/>
            </w:pPr>
            <w:r>
              <w:t xml:space="preserve">Advance payment upon contract signing</w:t>
            </w:r>
          </w:p>
        </w:tc>
        <w:tc>
          <w:tcPr/>
          <w:p>
            <w:pPr>
              <w:pStyle w:val="Compact"/>
              <w:jc w:val="left"/>
            </w:pPr>
            <w:r>
              <w:t xml:space="preserve">30%</w:t>
            </w:r>
          </w:p>
        </w:tc>
        <w:tc>
          <w:tcPr/>
          <w:p>
            <w:pPr>
              <w:pStyle w:val="Compact"/>
              <w:jc w:val="left"/>
            </w:pPr>
            <w:r>
              <w:t xml:space="preserve">168,880</w:t>
            </w:r>
          </w:p>
        </w:tc>
        <w:tc>
          <w:tcPr/>
          <w:p>
            <w:pPr>
              <w:pStyle w:val="Compact"/>
              <w:jc w:val="left"/>
            </w:pPr>
            <w:r>
              <w:t xml:space="preserve">Within 7 business days of acceptance</w:t>
            </w:r>
          </w:p>
        </w:tc>
      </w:tr>
      <w:tr>
        <w:tc>
          <w:tcPr/>
          <w:p>
            <w:pPr>
              <w:pStyle w:val="Compact"/>
              <w:jc w:val="left"/>
            </w:pPr>
            <w:r>
              <w:t xml:space="preserve">Mid-program payment (after 18 weeks)</w:t>
            </w:r>
          </w:p>
        </w:tc>
        <w:tc>
          <w:tcPr/>
          <w:p>
            <w:pPr>
              <w:pStyle w:val="Compact"/>
              <w:jc w:val="left"/>
            </w:pPr>
            <w:r>
              <w:t xml:space="preserve">40%</w:t>
            </w:r>
          </w:p>
        </w:tc>
        <w:tc>
          <w:tcPr/>
          <w:p>
            <w:pPr>
              <w:pStyle w:val="Compact"/>
              <w:jc w:val="left"/>
            </w:pPr>
            <w:r>
              <w:t xml:space="preserve">225,173</w:t>
            </w:r>
          </w:p>
        </w:tc>
        <w:tc>
          <w:tcPr/>
          <w:p>
            <w:pPr>
              <w:pStyle w:val="Compact"/>
              <w:jc w:val="left"/>
            </w:pPr>
            <w:r>
              <w:t xml:space="preserve">End of Week 18</w:t>
            </w:r>
          </w:p>
        </w:tc>
      </w:tr>
      <w:tr>
        <w:tc>
          <w:tcPr/>
          <w:p>
            <w:pPr>
              <w:pStyle w:val="Compact"/>
              <w:jc w:val="left"/>
            </w:pPr>
            <w:r>
              <w:t xml:space="preserve">Final payment upon program completion</w:t>
            </w:r>
          </w:p>
        </w:tc>
        <w:tc>
          <w:tcPr/>
          <w:p>
            <w:pPr>
              <w:pStyle w:val="Compact"/>
              <w:jc w:val="left"/>
            </w:pPr>
            <w:r>
              <w:t xml:space="preserve">30%</w:t>
            </w:r>
          </w:p>
        </w:tc>
        <w:tc>
          <w:tcPr/>
          <w:p>
            <w:pPr>
              <w:pStyle w:val="Compact"/>
              <w:jc w:val="left"/>
            </w:pPr>
            <w:r>
              <w:t xml:space="preserve">168,879</w:t>
            </w:r>
          </w:p>
        </w:tc>
        <w:tc>
          <w:tcPr/>
          <w:p>
            <w:pPr>
              <w:pStyle w:val="Compact"/>
              <w:jc w:val="left"/>
            </w:pPr>
            <w:r>
              <w:t xml:space="preserve">End of Week 36</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operational costs, material expenses, or regulatory requirements within</w:t>
      </w:r>
      <w:r>
        <w:t xml:space="preserve"> </w:t>
      </w:r>
      <w:r>
        <w:t xml:space="preserve">Egypt Cairo</w:t>
      </w:r>
      <w:r>
        <w:t xml:space="preserve">.</w:t>
      </w:r>
    </w:p>
    <w:p>
      <w:pPr>
        <w:numPr>
          <w:ilvl w:val="0"/>
          <w:numId w:val="1001"/>
        </w:numPr>
        <w:pStyle w:val="Compact"/>
      </w:pPr>
      <w:r>
        <w:t xml:space="preserve">The</w:t>
      </w:r>
      <w:r>
        <w:t xml:space="preserve"> </w:t>
      </w:r>
      <w:r>
        <w:t xml:space="preserve">Speech Therapist</w:t>
      </w:r>
      <w:r>
        <w:t xml:space="preserve"> </w:t>
      </w:r>
      <w:r>
        <w:t xml:space="preserve">reserves the right to reschedule individual sessions with a minimum of 24 hours’ prior written notice. Missed sessions due to client-side cancellation will not be rescheduled or refunded.</w:t>
      </w:r>
    </w:p>
    <w:p>
      <w:pPr>
        <w:numPr>
          <w:ilvl w:val="0"/>
          <w:numId w:val="1001"/>
        </w:numPr>
        <w:pStyle w:val="Compact"/>
      </w:pPr>
      <w:r>
        <w:t xml:space="preserve">All clinical data, assessment results, and progress reports generated during the course of therapy are the confidential property of the client institution and the students’ guardians. The</w:t>
      </w:r>
      <w:r>
        <w:t xml:space="preserve"> </w:t>
      </w:r>
      <w:r>
        <w:t xml:space="preserve">Speech Therapist</w:t>
      </w:r>
      <w:r>
        <w:t xml:space="preserve"> </w:t>
      </w:r>
      <w:r>
        <w:t xml:space="preserve">and the Nile Delta Communication &amp; Speech Center shall comply fully with the Egyptian Personal Data Protection Law (Law No. 151 of 2020).</w:t>
      </w:r>
    </w:p>
    <w:p>
      <w:pPr>
        <w:numPr>
          <w:ilvl w:val="0"/>
          <w:numId w:val="1001"/>
        </w:numPr>
        <w:pStyle w:val="Compact"/>
      </w:pPr>
      <w:r>
        <w:t xml:space="preserve">The therapy program is designed for a 36-week cycle. Any extension beyond this period will be subject to a separate</w:t>
      </w:r>
      <w:r>
        <w:t xml:space="preserve"> </w:t>
      </w:r>
      <w:r>
        <w:t xml:space="preserve">Quotation Estimate</w:t>
      </w:r>
      <w:r>
        <w:t xml:space="preserve"> </w:t>
      </w:r>
      <w:r>
        <w:t xml:space="preserve">and mutual written agreement between both parties.</w:t>
      </w:r>
    </w:p>
    <w:p>
      <w:pPr>
        <w:numPr>
          <w:ilvl w:val="0"/>
          <w:numId w:val="1001"/>
        </w:numPr>
        <w:pStyle w:val="Compact"/>
      </w:pPr>
      <w:r>
        <w:t xml:space="preserve">Disputes arising from this agreement shall be resolved through amicable negotiation. In the event of unresolved disagreement, the matter shall be referred to the competent courts in Cairo, Egypt.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it is countersigned by both parties and the advance payment has been received in full.</w:t>
      </w:r>
    </w:p>
    <w:p>
      <w:pPr>
        <w:numPr>
          <w:ilvl w:val="0"/>
          <w:numId w:val="1001"/>
        </w:numPr>
        <w:pStyle w:val="Compact"/>
      </w:pPr>
      <w:r>
        <w:t xml:space="preserve">The</w:t>
      </w:r>
      <w:r>
        <w:t xml:space="preserve"> </w:t>
      </w:r>
      <w:r>
        <w:t xml:space="preserve">Speech Therapist</w:t>
      </w:r>
      <w:r>
        <w:t xml:space="preserve"> </w:t>
      </w:r>
      <w:r>
        <w:t xml:space="preserve">shall maintain professional liability insurance with a minimum coverage of EGP 5,000,000, valid throughout the duration of the engagement in</w:t>
      </w:r>
      <w:r>
        <w:t xml:space="preserve"> </w:t>
      </w:r>
      <w:r>
        <w:t xml:space="preserve">Egypt Cairo</w:t>
      </w:r>
      <w:r>
        <w:t xml:space="preserve">.</w:t>
      </w:r>
    </w:p>
    <w:p>
      <w:pPr>
        <w:pStyle w:val="FirstParagraph"/>
      </w:pPr>
      <w:r>
        <w:t xml:space="preserve">6. Acceptance and Authorization</w:t>
      </w:r>
    </w:p>
    <w:p>
      <w:pPr>
        <w:pStyle w:val="BodyText"/>
      </w:pPr>
      <w:r>
        <w:t xml:space="preserve">By signing below, both parties acknowledge that they have read, understood, and agree to all terms, conditions, and pricing details set forth in this</w:t>
      </w:r>
      <w:r>
        <w:t xml:space="preserve"> </w:t>
      </w:r>
      <w:r>
        <w:t xml:space="preserve">Quotation Estimate</w:t>
      </w:r>
      <w:r>
        <w:t xml:space="preserve"> </w:t>
      </w:r>
      <w:r>
        <w:t xml:space="preserve">for</w:t>
      </w:r>
      <w:r>
        <w:t xml:space="preserve"> </w:t>
      </w:r>
      <w:r>
        <w:t xml:space="preserve">Speech Therapist</w:t>
      </w:r>
      <w:r>
        <w:t xml:space="preserve"> </w:t>
      </w:r>
      <w:r>
        <w:t xml:space="preserve">services to be delivered in</w:t>
      </w:r>
      <w:r>
        <w:t xml:space="preserve"> </w:t>
      </w:r>
      <w:r>
        <w:t xml:space="preserve">Egypt Cairo</w:t>
      </w:r>
      <w:r>
        <w:t xml:space="preserve">.</w:t>
      </w:r>
    </w:p>
    <w:p>
      <w:pPr>
        <w:pStyle w:val="BodyText"/>
      </w:pPr>
      <w:r>
        <w:rPr>
          <w:bCs/>
          <w:b/>
        </w:rPr>
        <w:t xml:space="preserve">For: Nile Delta Communication &amp; Speech Center</w:t>
      </w:r>
      <w:r>
        <w:br/>
      </w:r>
      <w:r>
        <w:t xml:space="preserve">Dr. Nour El-Sayed, M.S.</w:t>
      </w:r>
      <w:r>
        <w:br/>
      </w:r>
      <w:r>
        <w:t xml:space="preserve">Lead Speech Therapist &amp; Clinic Director</w:t>
      </w:r>
      <w:r>
        <w:br/>
      </w:r>
      <w:r>
        <w:t xml:space="preserve">Signature &amp; Date: _________________________</w:t>
      </w:r>
    </w:p>
    <w:p>
      <w:pPr>
        <w:pStyle w:val="BodyText"/>
      </w:pPr>
      <w:r>
        <w:rPr>
          <w:bCs/>
          <w:b/>
        </w:rPr>
        <w:t xml:space="preserve">For: Al-Noor Private School</w:t>
      </w:r>
      <w:r>
        <w:br/>
      </w:r>
      <w:r>
        <w:t xml:space="preserve">Mr. Ahmed Hassan</w:t>
      </w:r>
      <w:r>
        <w:br/>
      </w:r>
      <w:r>
        <w:t xml:space="preserve">Head of Special Education Department</w:t>
      </w:r>
      <w:r>
        <w:br/>
      </w:r>
      <w:r>
        <w:t xml:space="preserve">Signature &amp; Date: _________________________</w:t>
      </w:r>
    </w:p>
    <w:p>
      <w:pPr>
        <w:pStyle w:val="BodyText"/>
      </w:pPr>
      <w:r>
        <w:t xml:space="preserve">Nile Delta Communication &amp; Speech Center — 42 El-Tahrir Street, Downtown, Cairo, Egypt</w:t>
      </w:r>
      <w:r>
        <w:br/>
      </w:r>
      <w:r>
        <w:t xml:space="preserve">License No. EGY-SLP-2019-0087 | Egyptian Medical Syndicate Registration No. 4421</w:t>
      </w:r>
      <w:r>
        <w:br/>
      </w:r>
      <w:r>
        <w:t xml:space="preserve">This Quotation Estimate was prepared exclusively for the client named above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Egypt Cairo</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