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Jerusalem, Israel</w:t>
      </w:r>
    </w:p>
    <w:bookmarkEnd w:id="20"/>
    <w:p>
      <w:pPr>
        <w:pStyle w:val="BodyText"/>
      </w:pPr>
      <w:r>
        <w:rPr>
          <w:bCs/>
          <w:b/>
        </w:rPr>
        <w:t xml:space="preserve">Quotation No.:</w:t>
      </w:r>
      <w:r>
        <w:t xml:space="preserve"> </w:t>
      </w:r>
      <w:r>
        <w:t xml:space="preserve">QTE-JLM-2025-0472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Miriam Levi, M.S. CCC-SLP</w:t>
      </w:r>
      <w:r>
        <w:br/>
      </w:r>
      <w:r>
        <w:rPr>
          <w:bCs/>
          <w:b/>
        </w:rPr>
        <w:t xml:space="preserve">License No.:</w:t>
      </w:r>
      <w:r>
        <w:t xml:space="preserve"> </w:t>
      </w:r>
      <w:r>
        <w:t xml:space="preserve">IL-SP-2019-8834</w:t>
      </w:r>
      <w:r>
        <w:br/>
      </w:r>
      <w:r>
        <w:rPr>
          <w:bCs/>
          <w:b/>
        </w:rPr>
        <w:t xml:space="preserve">Practice:</w:t>
      </w:r>
      <w:r>
        <w:t xml:space="preserve"> </w:t>
      </w:r>
      <w:r>
        <w:t xml:space="preserve">Jerusalem Speech &amp; Language Center</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David Cohen</w:t>
            </w:r>
          </w:p>
        </w:tc>
      </w:tr>
      <w:tr>
        <w:tc>
          <w:tcPr/>
          <w:p>
            <w:pPr>
              <w:pStyle w:val="Compact"/>
              <w:jc w:val="left"/>
            </w:pPr>
            <w:r>
              <w:t xml:space="preserve">Address</w:t>
            </w:r>
          </w:p>
        </w:tc>
        <w:tc>
          <w:tcPr/>
          <w:p>
            <w:pPr>
              <w:pStyle w:val="Compact"/>
              <w:jc w:val="left"/>
            </w:pPr>
            <w:r>
              <w:t xml:space="preserve">14 Herzl Street, Jerusalem, Israel 9456789</w:t>
            </w:r>
          </w:p>
        </w:tc>
      </w:tr>
      <w:tr>
        <w:tc>
          <w:tcPr/>
          <w:p>
            <w:pPr>
              <w:pStyle w:val="Compact"/>
              <w:jc w:val="left"/>
            </w:pPr>
            <w:r>
              <w:t xml:space="preserve">Contact Number</w:t>
            </w:r>
          </w:p>
        </w:tc>
        <w:tc>
          <w:tcPr/>
          <w:p>
            <w:pPr>
              <w:pStyle w:val="Compact"/>
              <w:jc w:val="left"/>
            </w:pPr>
            <w:r>
              <w:t xml:space="preserve">+972-2-555-0147</w:t>
            </w:r>
          </w:p>
        </w:tc>
      </w:tr>
      <w:tr>
        <w:tc>
          <w:tcPr/>
          <w:p>
            <w:pPr>
              <w:pStyle w:val="Compact"/>
              <w:jc w:val="left"/>
            </w:pPr>
            <w:r>
              <w:t xml:space="preserve">Email</w:t>
            </w:r>
          </w:p>
        </w:tc>
        <w:tc>
          <w:tcPr/>
          <w:p>
            <w:pPr>
              <w:pStyle w:val="Compact"/>
              <w:jc w:val="left"/>
            </w:pPr>
            <w:r>
              <w:t xml:space="preserve">d.cohen@example.co.il</w:t>
            </w:r>
          </w:p>
        </w:tc>
      </w:tr>
      <w:tr>
        <w:tc>
          <w:tcPr/>
          <w:p>
            <w:pPr>
              <w:pStyle w:val="Compact"/>
              <w:jc w:val="left"/>
            </w:pPr>
            <w:r>
              <w:t xml:space="preserve">Referring Physician</w:t>
            </w:r>
          </w:p>
        </w:tc>
        <w:tc>
          <w:tcPr/>
          <w:p>
            <w:pPr>
              <w:pStyle w:val="Compact"/>
              <w:jc w:val="left"/>
            </w:pPr>
            <w:r>
              <w:t xml:space="preserve">Dr. Aharon Katz, Neurologist, Hadassah Medical Center, Jerusalem</w:t>
            </w:r>
          </w:p>
        </w:tc>
      </w:tr>
      <w:tr>
        <w:tc>
          <w:tcPr/>
          <w:p>
            <w:pPr>
              <w:pStyle w:val="Compact"/>
              <w:jc w:val="left"/>
            </w:pPr>
            <w:r>
              <w:t xml:space="preserve">Insurance Provider</w:t>
            </w:r>
          </w:p>
        </w:tc>
        <w:tc>
          <w:tcPr/>
          <w:p>
            <w:pPr>
              <w:pStyle w:val="Compact"/>
              <w:jc w:val="left"/>
            </w:pPr>
            <w:r>
              <w:t xml:space="preserve">Clalit Health Services – Policy No. CLT-2024-99821</w:t>
            </w:r>
          </w:p>
        </w:tc>
      </w:tr>
    </w:tbl>
    <w:bookmarkEnd w:id="21"/>
    <w:bookmarkStart w:id="22" w:name="purpose-of-this-quotation-estimate"/>
    <w:p>
      <w:pPr>
        <w:pStyle w:val="Heading2"/>
      </w:pPr>
      <w:r>
        <w:t xml:space="preserve">2. Purpose of This Quotation Estimate</w:t>
      </w:r>
    </w:p>
    <w:p>
      <w:pPr>
        <w:pStyle w:val="FirstParagraph"/>
      </w:pPr>
      <w:r>
        <w:t xml:space="preserve">This Quotation Estimate has been prepared in accordance with the referral received from Dr. Aharon Katz at Hadassah Medical Center. Following a comprehensive neurological assessment, the client has been diagnosed with mild-to-moderate expressive aphasia secondary to a cerebrovascular event. The purpose of this document is to provide a detailed, transparent, and itemized cost breakdown for the Speech Therapist intervention program to be delivered at the Jerusalem Speech &amp; Language Center, located in the heart of Israel Jerusalem, specifically in the Kirya district.</w:t>
      </w:r>
    </w:p>
    <w:p>
      <w:pPr>
        <w:pStyle w:val="BodyText"/>
      </w:pPr>
      <w:r>
        <w:t xml:space="preserve">This Quotation Estimate outlines the full scope of services, the projected duration of therapy, associated fees, and all applicable terms and conditions. The Speech Therapist assigned to this case will be a licensed and board-certified professional with over twelve years of clinical experience in treating adult aphasia, dysarthria, and related communication disorders within the Israel Jerusalem healthcare community.</w:t>
      </w:r>
    </w:p>
    <w:bookmarkEnd w:id="22"/>
    <w:bookmarkStart w:id="23" w:name="X79e80ba22ff0f365ece99415cf0849e4c0da562"/>
    <w:p>
      <w:pPr>
        <w:pStyle w:val="Heading2"/>
      </w:pPr>
      <w:r>
        <w:t xml:space="preserve">3. Scope of Services – Speech Therapist Program</w:t>
      </w:r>
    </w:p>
    <w:p>
      <w:pPr>
        <w:pStyle w:val="FirstParagraph"/>
      </w:pPr>
      <w:r>
        <w:t xml:space="preserve">The Speech Therapist will implement a structured, evidence-based intervention program tailored to the client's specific communication deficits. The program will encompass the following therapeutic components: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 per Session</w:t>
            </w:r>
          </w:p>
        </w:tc>
      </w:tr>
      <w:tr>
        <w:tc>
          <w:tcPr/>
          <w:p>
            <w:pPr>
              <w:pStyle w:val="Compact"/>
              <w:jc w:val="left"/>
            </w:pPr>
            <w:r>
              <w:t xml:space="preserve">Expressive Language Therapy</w:t>
            </w:r>
          </w:p>
        </w:tc>
        <w:tc>
          <w:tcPr/>
          <w:p>
            <w:pPr>
              <w:pStyle w:val="Compact"/>
              <w:jc w:val="left"/>
            </w:pPr>
            <w:r>
              <w:t xml:space="preserve">Targeted exercises to improve word-finding, sentence construction, and narrative discourse</w:t>
            </w:r>
          </w:p>
        </w:tc>
        <w:tc>
          <w:tcPr/>
          <w:p>
            <w:pPr>
              <w:pStyle w:val="Compact"/>
              <w:jc w:val="left"/>
            </w:pPr>
            <w:r>
              <w:t xml:space="preserve">3x per week</w:t>
            </w:r>
          </w:p>
        </w:tc>
        <w:tc>
          <w:tcPr/>
          <w:p>
            <w:pPr>
              <w:pStyle w:val="Compact"/>
              <w:jc w:val="left"/>
            </w:pPr>
            <w:r>
              <w:t xml:space="preserve">60 minutes</w:t>
            </w:r>
          </w:p>
        </w:tc>
      </w:tr>
      <w:tr>
        <w:tc>
          <w:tcPr/>
          <w:p>
            <w:pPr>
              <w:pStyle w:val="Compact"/>
              <w:jc w:val="left"/>
            </w:pPr>
            <w:r>
              <w:t xml:space="preserve">Receptive Language Training</w:t>
            </w:r>
          </w:p>
        </w:tc>
        <w:tc>
          <w:tcPr/>
          <w:p>
            <w:pPr>
              <w:pStyle w:val="Compact"/>
              <w:jc w:val="left"/>
            </w:pPr>
            <w:r>
              <w:t xml:space="preserve">Comprehension exercises for complex instructions, reading, and auditory processing</w:t>
            </w:r>
          </w:p>
        </w:tc>
        <w:tc>
          <w:tcPr/>
          <w:p>
            <w:pPr>
              <w:pStyle w:val="Compact"/>
              <w:jc w:val="left"/>
            </w:pPr>
            <w:r>
              <w:t xml:space="preserve">2x per week</w:t>
            </w:r>
          </w:p>
        </w:tc>
        <w:tc>
          <w:tcPr/>
          <w:p>
            <w:pPr>
              <w:pStyle w:val="Compact"/>
              <w:jc w:val="left"/>
            </w:pPr>
            <w:r>
              <w:t xml:space="preserve">45 minutes</w:t>
            </w:r>
          </w:p>
        </w:tc>
      </w:tr>
      <w:tr>
        <w:tc>
          <w:tcPr/>
          <w:p>
            <w:pPr>
              <w:pStyle w:val="Compact"/>
              <w:jc w:val="left"/>
            </w:pPr>
            <w:r>
              <w:t xml:space="preserve">Pragmatic Communication Coaching</w:t>
            </w:r>
          </w:p>
        </w:tc>
        <w:tc>
          <w:tcPr/>
          <w:p>
            <w:pPr>
              <w:pStyle w:val="Compact"/>
              <w:jc w:val="left"/>
            </w:pPr>
            <w:r>
              <w:t xml:space="preserve">Role-play scenarios for social interaction, telephone use, and community engagement</w:t>
            </w:r>
          </w:p>
        </w:tc>
        <w:tc>
          <w:tcPr/>
          <w:p>
            <w:pPr>
              <w:pStyle w:val="Compact"/>
              <w:jc w:val="left"/>
            </w:pPr>
            <w:r>
              <w:t xml:space="preserve">1x per week</w:t>
            </w:r>
          </w:p>
        </w:tc>
        <w:tc>
          <w:tcPr/>
          <w:p>
            <w:pPr>
              <w:pStyle w:val="Compact"/>
              <w:jc w:val="left"/>
            </w:pPr>
            <w:r>
              <w:t xml:space="preserve">60 minutes</w:t>
            </w:r>
          </w:p>
        </w:tc>
      </w:tr>
      <w:tr>
        <w:tc>
          <w:tcPr/>
          <w:p>
            <w:pPr>
              <w:pStyle w:val="Compact"/>
              <w:jc w:val="left"/>
            </w:pPr>
            <w:r>
              <w:t xml:space="preserve">Family &amp; Caregiver Education</w:t>
            </w:r>
          </w:p>
        </w:tc>
        <w:tc>
          <w:tcPr/>
          <w:p>
            <w:pPr>
              <w:pStyle w:val="Compact"/>
              <w:jc w:val="left"/>
            </w:pPr>
            <w:r>
              <w:t xml:space="preserve">Guidance for family members on communication strategies and home-based exercises</w:t>
            </w:r>
          </w:p>
        </w:tc>
        <w:tc>
          <w:tcPr/>
          <w:p>
            <w:pPr>
              <w:pStyle w:val="Compact"/>
              <w:jc w:val="left"/>
            </w:pPr>
            <w:r>
              <w:t xml:space="preserve">1x per month</w:t>
            </w:r>
          </w:p>
        </w:tc>
        <w:tc>
          <w:tcPr/>
          <w:p>
            <w:pPr>
              <w:pStyle w:val="Compact"/>
              <w:jc w:val="left"/>
            </w:pPr>
            <w:r>
              <w:t xml:space="preserve">45 minutes</w:t>
            </w:r>
          </w:p>
        </w:tc>
      </w:tr>
      <w:tr>
        <w:tc>
          <w:tcPr/>
          <w:p>
            <w:pPr>
              <w:pStyle w:val="Compact"/>
              <w:jc w:val="left"/>
            </w:pPr>
            <w:r>
              <w:t xml:space="preserve">Progress Assessment &amp; Reporting</w:t>
            </w:r>
          </w:p>
        </w:tc>
        <w:tc>
          <w:tcPr/>
          <w:p>
            <w:pPr>
              <w:pStyle w:val="Compact"/>
              <w:jc w:val="left"/>
            </w:pPr>
            <w:r>
              <w:t xml:space="preserve">Standardized testing (WAB, BDAE) and written progress reports to referring physician</w:t>
            </w:r>
          </w:p>
        </w:tc>
        <w:tc>
          <w:tcPr/>
          <w:p>
            <w:pPr>
              <w:pStyle w:val="Compact"/>
              <w:jc w:val="left"/>
            </w:pPr>
            <w:r>
              <w:t xml:space="preserve">Monthly</w:t>
            </w:r>
          </w:p>
        </w:tc>
        <w:tc>
          <w:tcPr/>
          <w:p>
            <w:pPr>
              <w:pStyle w:val="Compact"/>
              <w:jc w:val="left"/>
            </w:pPr>
            <w:r>
              <w:t xml:space="preserve">30 minutes</w:t>
            </w:r>
          </w:p>
        </w:tc>
      </w:tr>
    </w:tbl>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Rate (NIS)</w:t>
            </w:r>
          </w:p>
        </w:tc>
        <w:tc>
          <w:tcPr/>
          <w:p>
            <w:pPr>
              <w:pStyle w:val="Compact"/>
              <w:jc w:val="left"/>
            </w:pPr>
            <w:r>
              <w:t xml:space="preserve">Quantity</w:t>
            </w:r>
          </w:p>
        </w:tc>
        <w:tc>
          <w:tcPr/>
          <w:p>
            <w:pPr>
              <w:pStyle w:val="Compact"/>
              <w:jc w:val="left"/>
            </w:pPr>
            <w:r>
              <w:t xml:space="preserve">Subtotal (NIS)</w:t>
            </w:r>
          </w:p>
        </w:tc>
      </w:tr>
      <w:tr>
        <w:tc>
          <w:tcPr/>
          <w:p>
            <w:pPr>
              <w:pStyle w:val="Compact"/>
              <w:jc w:val="left"/>
            </w:pPr>
            <w:r>
              <w:t xml:space="preserve">Expressive Language Therapy Session</w:t>
            </w:r>
          </w:p>
        </w:tc>
        <w:tc>
          <w:tcPr/>
          <w:p>
            <w:pPr>
              <w:pStyle w:val="Compact"/>
              <w:jc w:val="left"/>
            </w:pPr>
            <w:r>
              <w:t xml:space="preserve">450</w:t>
            </w:r>
          </w:p>
        </w:tc>
        <w:tc>
          <w:tcPr/>
          <w:p>
            <w:pPr>
              <w:pStyle w:val="Compact"/>
              <w:jc w:val="left"/>
            </w:pPr>
            <w:r>
              <w:t xml:space="preserve">36 sessions (12 weeks)</w:t>
            </w:r>
          </w:p>
        </w:tc>
        <w:tc>
          <w:tcPr/>
          <w:p>
            <w:pPr>
              <w:pStyle w:val="Compact"/>
              <w:jc w:val="left"/>
            </w:pPr>
            <w:r>
              <w:t xml:space="preserve">16,200</w:t>
            </w:r>
          </w:p>
        </w:tc>
      </w:tr>
      <w:tr>
        <w:tc>
          <w:tcPr/>
          <w:p>
            <w:pPr>
              <w:pStyle w:val="Compact"/>
              <w:jc w:val="left"/>
            </w:pPr>
            <w:r>
              <w:t xml:space="preserve">Receptive Language Training Session</w:t>
            </w:r>
          </w:p>
        </w:tc>
        <w:tc>
          <w:tcPr/>
          <w:p>
            <w:pPr>
              <w:pStyle w:val="Compact"/>
              <w:jc w:val="left"/>
            </w:pPr>
            <w:r>
              <w:t xml:space="preserve">380</w:t>
            </w:r>
          </w:p>
        </w:tc>
        <w:tc>
          <w:tcPr/>
          <w:p>
            <w:pPr>
              <w:pStyle w:val="Compact"/>
              <w:jc w:val="left"/>
            </w:pPr>
            <w:r>
              <w:t xml:space="preserve">24 sessions (12 weeks)</w:t>
            </w:r>
          </w:p>
        </w:tc>
        <w:tc>
          <w:tcPr/>
          <w:p>
            <w:pPr>
              <w:pStyle w:val="Compact"/>
              <w:jc w:val="left"/>
            </w:pPr>
            <w:r>
              <w:t xml:space="preserve">9,120</w:t>
            </w:r>
          </w:p>
        </w:tc>
      </w:tr>
      <w:tr>
        <w:tc>
          <w:tcPr/>
          <w:p>
            <w:pPr>
              <w:pStyle w:val="Compact"/>
              <w:jc w:val="left"/>
            </w:pPr>
            <w:r>
              <w:t xml:space="preserve">Pragmatic Communication Coaching</w:t>
            </w:r>
          </w:p>
        </w:tc>
        <w:tc>
          <w:tcPr/>
          <w:p>
            <w:pPr>
              <w:pStyle w:val="Compact"/>
              <w:jc w:val="left"/>
            </w:pPr>
            <w:r>
              <w:t xml:space="preserve">450</w:t>
            </w:r>
          </w:p>
        </w:tc>
        <w:tc>
          <w:tcPr/>
          <w:p>
            <w:pPr>
              <w:pStyle w:val="Compact"/>
              <w:jc w:val="left"/>
            </w:pPr>
            <w:r>
              <w:t xml:space="preserve">12 sessions (12 weeks)</w:t>
            </w:r>
          </w:p>
        </w:tc>
        <w:tc>
          <w:tcPr/>
          <w:p>
            <w:pPr>
              <w:pStyle w:val="Compact"/>
              <w:jc w:val="left"/>
            </w:pPr>
            <w:r>
              <w:t xml:space="preserve">5,400</w:t>
            </w:r>
          </w:p>
        </w:tc>
      </w:tr>
      <w:tr>
        <w:tc>
          <w:tcPr/>
          <w:p>
            <w:pPr>
              <w:pStyle w:val="Compact"/>
              <w:jc w:val="left"/>
            </w:pPr>
            <w:r>
              <w:t xml:space="preserve">Family &amp; Caregiver Education</w:t>
            </w:r>
          </w:p>
        </w:tc>
        <w:tc>
          <w:tcPr/>
          <w:p>
            <w:pPr>
              <w:pStyle w:val="Compact"/>
              <w:jc w:val="left"/>
            </w:pPr>
            <w:r>
              <w:t xml:space="preserve">350</w:t>
            </w:r>
          </w:p>
        </w:tc>
        <w:tc>
          <w:tcPr/>
          <w:p>
            <w:pPr>
              <w:pStyle w:val="Compact"/>
              <w:jc w:val="left"/>
            </w:pPr>
            <w:r>
              <w:t xml:space="preserve">3 sessions</w:t>
            </w:r>
          </w:p>
        </w:tc>
        <w:tc>
          <w:tcPr/>
          <w:p>
            <w:pPr>
              <w:pStyle w:val="Compact"/>
              <w:jc w:val="left"/>
            </w:pPr>
            <w:r>
              <w:t xml:space="preserve">1,050</w:t>
            </w:r>
          </w:p>
        </w:tc>
      </w:tr>
      <w:tr>
        <w:tc>
          <w:tcPr/>
          <w:p>
            <w:pPr>
              <w:pStyle w:val="Compact"/>
              <w:jc w:val="left"/>
            </w:pPr>
            <w:r>
              <w:t xml:space="preserve">Progress Assessment &amp; Written Report</w:t>
            </w:r>
          </w:p>
        </w:tc>
        <w:tc>
          <w:tcPr/>
          <w:p>
            <w:pPr>
              <w:pStyle w:val="Compact"/>
              <w:jc w:val="left"/>
            </w:pPr>
            <w:r>
              <w:t xml:space="preserve">300</w:t>
            </w:r>
          </w:p>
        </w:tc>
        <w:tc>
          <w:tcPr/>
          <w:p>
            <w:pPr>
              <w:pStyle w:val="Compact"/>
              <w:jc w:val="left"/>
            </w:pPr>
            <w:r>
              <w:t xml:space="preserve">3 reports</w:t>
            </w:r>
          </w:p>
        </w:tc>
        <w:tc>
          <w:tcPr/>
          <w:p>
            <w:pPr>
              <w:pStyle w:val="Compact"/>
              <w:jc w:val="left"/>
            </w:pPr>
            <w:r>
              <w:t xml:space="preserve">900</w:t>
            </w:r>
          </w:p>
        </w:tc>
      </w:tr>
      <w:tr>
        <w:tc>
          <w:tcPr/>
          <w:p>
            <w:pPr>
              <w:pStyle w:val="Compact"/>
              <w:jc w:val="left"/>
            </w:pPr>
            <w:r>
              <w:t xml:space="preserve">Initial Comprehensive Evaluation</w:t>
            </w:r>
          </w:p>
        </w:tc>
        <w:tc>
          <w:tcPr/>
          <w:p>
            <w:pPr>
              <w:pStyle w:val="Compact"/>
              <w:jc w:val="left"/>
            </w:pPr>
            <w:r>
              <w:t xml:space="preserve">800</w:t>
            </w:r>
          </w:p>
        </w:tc>
        <w:tc>
          <w:tcPr/>
          <w:p>
            <w:pPr>
              <w:pStyle w:val="Compact"/>
              <w:jc w:val="left"/>
            </w:pPr>
            <w:r>
              <w:t xml:space="preserve">1 session</w:t>
            </w:r>
          </w:p>
        </w:tc>
        <w:tc>
          <w:tcPr/>
          <w:p>
            <w:pPr>
              <w:pStyle w:val="Compact"/>
              <w:jc w:val="left"/>
            </w:pPr>
            <w:r>
              <w:t xml:space="preserve">800</w:t>
            </w:r>
          </w:p>
        </w:tc>
      </w:tr>
      <w:tr>
        <w:tc>
          <w:tcPr/>
          <w:p>
            <w:pPr>
              <w:pStyle w:val="Compact"/>
              <w:jc w:val="left"/>
            </w:pPr>
            <w:r>
              <w:t xml:space="preserve">Therapeutic Materials &amp; Software License</w:t>
            </w:r>
          </w:p>
        </w:tc>
        <w:tc>
          <w:tcPr/>
          <w:p>
            <w:pPr>
              <w:pStyle w:val="Compact"/>
              <w:jc w:val="left"/>
            </w:pPr>
            <w:r>
              <w:t xml:space="preserve">250</w:t>
            </w:r>
          </w:p>
        </w:tc>
        <w:tc>
          <w:tcPr/>
          <w:p>
            <w:pPr>
              <w:pStyle w:val="Compact"/>
              <w:jc w:val="left"/>
            </w:pPr>
            <w:r>
              <w:t xml:space="preserve">1 package</w:t>
            </w:r>
          </w:p>
        </w:tc>
        <w:tc>
          <w:tcPr/>
          <w:p>
            <w:pPr>
              <w:pStyle w:val="Compact"/>
              <w:jc w:val="left"/>
            </w:pPr>
            <w:r>
              <w:t xml:space="preserve">250</w:t>
            </w:r>
          </w:p>
        </w:tc>
      </w:tr>
      <w:tr>
        <w:tc>
          <w:tcPr>
            <w:gridSpan w:val="3"/>
          </w:tcPr>
          <w:p>
            <w:pPr>
              <w:pStyle w:val="Compact"/>
              <w:jc w:val="left"/>
            </w:pPr>
            <w:r>
              <w:t xml:space="preserve">TOTAL ESTIMATED COST (before insurance reimbursement)</w:t>
            </w:r>
          </w:p>
        </w:tc>
        <w:tc>
          <w:tcPr/>
          <w:p>
            <w:pPr>
              <w:pStyle w:val="Compact"/>
              <w:jc w:val="left"/>
            </w:pPr>
            <w:r>
              <w:t xml:space="preserve">33,720 NIS</w:t>
            </w:r>
          </w:p>
        </w:tc>
      </w:tr>
      <w:tr>
        <w:tc>
          <w:tcPr/>
          <w:p>
            <w:pPr>
              <w:pStyle w:val="Compact"/>
              <w:jc w:val="left"/>
            </w:pPr>
            <w:r>
              <w:t xml:space="preserve">Estimated Insurance Reimbursement (Clalit – 70%)</w:t>
            </w:r>
          </w:p>
        </w:tc>
        <w:tc>
          <w:tcPr>
            <w:gridSpan w:val="3"/>
          </w:tcPr>
          <w:p>
            <w:pPr>
              <w:pStyle w:val="Compact"/>
              <w:jc w:val="left"/>
            </w:pPr>
            <w:r>
              <w:t xml:space="preserve">-23,604 NIS</w:t>
            </w:r>
          </w:p>
        </w:tc>
      </w:tr>
      <w:tr>
        <w:tc>
          <w:tcPr>
            <w:gridSpan w:val="3"/>
          </w:tcPr>
          <w:p>
            <w:pPr>
              <w:pStyle w:val="Compact"/>
              <w:jc w:val="left"/>
            </w:pPr>
            <w:r>
              <w:t xml:space="preserve">CLIENT OUT-OF-POCKET ESTIMATE</w:t>
            </w:r>
          </w:p>
        </w:tc>
        <w:tc>
          <w:tcPr/>
          <w:p>
            <w:pPr>
              <w:pStyle w:val="Compact"/>
              <w:jc w:val="left"/>
            </w:pPr>
            <w:r>
              <w:t xml:space="preserve">10,116 NIS</w:t>
            </w:r>
          </w:p>
        </w:tc>
      </w:tr>
    </w:tbl>
    <w:p>
      <w:pPr>
        <w:pStyle w:val="BodyText"/>
      </w:pPr>
      <w:r>
        <w:t xml:space="preserve">All rates are quoted in New Israeli Shekels (NIS). VAT (18%) is included in the above rates as per Israel Jerusalem tax regulations for licensed medical services. The final insurance reimbursement amount is subject to verification by Clalit Health Services and may vary based on the specific policy tier.</w:t>
      </w:r>
    </w:p>
    <w:bookmarkEnd w:id="24"/>
    <w:bookmarkStart w:id="25" w:name="terms-and-conditions"/>
    <w:p>
      <w:pPr>
        <w:pStyle w:val="Heading2"/>
      </w:pPr>
      <w:r>
        <w:t xml:space="preserve">5. Terms and Conditions</w:t>
      </w:r>
    </w:p>
    <w:p>
      <w:pPr>
        <w:pStyle w:val="FirstParagraph"/>
      </w:pPr>
      <w:r>
        <w:t xml:space="preserve">This Quotation Estimate is valid for thirty (30) calendar days from the date of issue. The Speech Therapist reserves the right to adjust session frequency or modify the therapeutic plan based on the client's clinical progress, as documented in monthly progress reports. Any changes to the treatment plan will be communicated in writing and will not alter the total estimated cost unless the program duration exceeds the initial twelve-week period.</w:t>
      </w:r>
    </w:p>
    <w:p>
      <w:pPr>
        <w:pStyle w:val="BodyText"/>
      </w:pPr>
      <w:r>
        <w:t xml:space="preserve">Cancellations must be provided at least twenty-four (24) hours in advance. Sessions cancelled with less than twenty-four hours' notice will be billed at fifty percent (50%) of the standard session rate. The Speech Therapist at the Jerusalem Speech &amp; Language Center operates in compliance with all regulations set forth by the Israel Ministry of Health and the Israel Speech-Language Pathology Association.</w:t>
      </w:r>
    </w:p>
    <w:p>
      <w:pPr>
        <w:pStyle w:val="BodyText"/>
      </w:pPr>
      <w:r>
        <w:t xml:space="preserve">Payment is due within fourteen (14) days of the monthly invoice. The client may pay via bank transfer to the practice account in Israel Jerusalem, or by credit card. A late payment fee of 1.5% per month will apply to outstanding balances.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 Quotation Estimate for Speech Therapist services. The client confirms that the scope of services, financial terms, and conditions outlined herein have been reviewed and understood. The Speech Therapist will commence the initial comprehensive evaluation within five (5) business days of signed authorization.</w:t>
      </w:r>
    </w:p>
    <w:bookmarkEnd w:id="26"/>
    <w:p>
      <w:pPr>
        <w:pStyle w:val="BodyText"/>
      </w:pPr>
      <w:r>
        <w:t xml:space="preserve">Client Signature &amp; Date</w:t>
      </w:r>
    </w:p>
    <w:p>
      <w:pPr>
        <w:pStyle w:val="BodyText"/>
      </w:pPr>
      <w:r>
        <w:t xml:space="preserve">Mr. David Cohen</w:t>
      </w:r>
    </w:p>
    <w:p>
      <w:pPr>
        <w:pStyle w:val="BodyText"/>
      </w:pPr>
      <w:r>
        <w:t xml:space="preserve">Speech Therapist Signature &amp; Date</w:t>
      </w:r>
    </w:p>
    <w:p>
      <w:pPr>
        <w:pStyle w:val="BodyText"/>
      </w:pPr>
      <w:r>
        <w:t xml:space="preserve">Dr. Miriam Levi, M.S. CCC-SLP</w:t>
      </w:r>
    </w:p>
    <w:p>
      <w:pPr>
        <w:pStyle w:val="BodyText"/>
      </w:pPr>
      <w:r>
        <w:rPr>
          <w:bCs/>
          <w:b/>
        </w:rPr>
        <w:t xml:space="preserve">Jerusalem Speech &amp; Language Center</w:t>
      </w:r>
      <w:r>
        <w:t xml:space="preserve"> </w:t>
      </w:r>
      <w:r>
        <w:t xml:space="preserve">| 22 Ben Yehuda Street, Kirya, Jerusalem, Israel 9700000 | Tel: +972-2-625-4400 | Email: info@jerusalemspeech.co.il</w:t>
      </w:r>
    </w:p>
    <w:p>
      <w:pPr>
        <w:pStyle w:val="BodyText"/>
      </w:pPr>
      <w:r>
        <w:t xml:space="preserve">License: Israel Ministry of Health – Medical Practice Permit No. 2019-4471 | Member, Israel Speech-Language Pathology Association</w:t>
      </w:r>
    </w:p>
    <w:p>
      <w:pPr>
        <w:pStyle w:val="BodyText"/>
      </w:pPr>
      <w:r>
        <w:t xml:space="preserve">This Quotation Estimate document is generated electronically and is valid without a physical stamp. For any inquiries regarding this estimate, please contact the practice office during business hours (Sunday–Thursday, 08:00–17:00 Israel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Israel Jerusalem</dc:title>
  <dc:creator/>
  <dc:language>en</dc:language>
  <cp:keywords/>
  <dcterms:created xsi:type="dcterms:W3CDTF">2026-10-10T07:20:25Z</dcterms:created>
  <dcterms:modified xsi:type="dcterms:W3CDTF">2026-10-10T07:20:25Z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