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Services</w:t>
      </w:r>
    </w:p>
    <w:p>
      <w:pPr>
        <w:pStyle w:val="BodyText"/>
      </w:pPr>
      <w:r>
        <w:rPr>
          <w:bCs/>
          <w:b/>
        </w:rPr>
        <w:t xml:space="preserve">Statistical Consulting &amp; Data Analysis Division</w:t>
      </w:r>
    </w:p>
    <w:p>
      <w:pPr>
        <w:pStyle w:val="BodyText"/>
      </w:pPr>
      <w:r>
        <w:t xml:space="preserve">Av. Rio Branco, 1200, Sala 850 — Centro, Rio de Janeiro, RJ — CEP 20090-000 — Brazil</w:t>
      </w:r>
    </w:p>
    <w:p>
      <w:pPr>
        <w:pStyle w:val="BodyText"/>
      </w:pPr>
      <w:r>
        <w:t xml:space="preserve">CNPJ: 12.345.678/0001-90 | Tel: +55 (21) 3456-7890 | Email: estimates@statconsult-rj.com.br</w:t>
      </w:r>
    </w:p>
    <w:bookmarkEnd w:id="20"/>
    <w:p>
      <w:pPr>
        <w:pStyle w:val="BodyText"/>
      </w:pPr>
      <w:r>
        <w:rPr>
          <w:bCs/>
          <w:b/>
        </w:rPr>
        <w:t xml:space="preserve">Quotation Estimate No.:</w:t>
      </w:r>
      <w:r>
        <w:t xml:space="preserve"> </w:t>
      </w:r>
      <w:r>
        <w:t xml:space="preserve">QE-2025-04871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Brazil, Rio de Janeiro</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Empresa de Pesquisa e Desenvolvimento S.A.</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Address:</w:t>
            </w:r>
          </w:p>
        </w:tc>
        <w:tc>
          <w:tcPr/>
          <w:p>
            <w:pPr>
              <w:pStyle w:val="Compact"/>
              <w:jc w:val="left"/>
            </w:pPr>
            <w:r>
              <w:t xml:space="preserve">Av. das Américas, 4500, Bloco C, 12º Andar — Barra da Tijuca, Rio de Janeiro, RJ — CEP 22631-020 — Brazil</w:t>
            </w:r>
          </w:p>
        </w:tc>
      </w:tr>
      <w:tr>
        <w:tc>
          <w:tcPr/>
          <w:p>
            <w:pPr>
              <w:pStyle w:val="Compact"/>
              <w:jc w:val="left"/>
            </w:pPr>
            <w:r>
              <w:rPr>
                <w:bCs/>
                <w:b/>
              </w:rPr>
              <w:t xml:space="preserve">Contact Person:</w:t>
            </w:r>
          </w:p>
        </w:tc>
        <w:tc>
          <w:tcPr/>
          <w:p>
            <w:pPr>
              <w:pStyle w:val="Compact"/>
              <w:jc w:val="left"/>
            </w:pPr>
            <w:r>
              <w:t xml:space="preserve">Dra. Mariana Costa — Head of Research &amp; Analytics</w:t>
            </w:r>
          </w:p>
        </w:tc>
      </w:tr>
      <w:tr>
        <w:tc>
          <w:tcPr/>
          <w:p>
            <w:pPr>
              <w:pStyle w:val="Compact"/>
              <w:jc w:val="left"/>
            </w:pPr>
            <w:r>
              <w:rPr>
                <w:bCs/>
                <w:b/>
              </w:rPr>
              <w:t xml:space="preserve">Email:</w:t>
            </w:r>
          </w:p>
        </w:tc>
        <w:tc>
          <w:tcPr/>
          <w:p>
            <w:pPr>
              <w:pStyle w:val="Compact"/>
              <w:jc w:val="left"/>
            </w:pPr>
            <w:r>
              <w:t xml:space="preserve">m.costa@epd-sa.com.br</w:t>
            </w:r>
          </w:p>
        </w:tc>
      </w:tr>
    </w:tbl>
    <w:p>
      <w:pPr>
        <w:pStyle w:val="BodyText"/>
      </w:pPr>
      <w:r>
        <w:t xml:space="preserve">2. Scope of Services — Statistician Engagement</w:t>
      </w:r>
    </w:p>
    <w:p>
      <w:pPr>
        <w:pStyle w:val="BodyText"/>
      </w:pPr>
      <w:r>
        <w:t xml:space="preserve">This</w:t>
      </w:r>
      <w:r>
        <w:t xml:space="preserve"> </w:t>
      </w:r>
      <w:r>
        <w:t xml:space="preserve">Quotation Estimate</w:t>
      </w:r>
      <w:r>
        <w:t xml:space="preserve"> </w:t>
      </w:r>
      <w:r>
        <w:t xml:space="preserve">is issued to provide a comprehensive and transparent cost breakdown for the engagement of a senior</w:t>
      </w:r>
      <w:r>
        <w:t xml:space="preserve"> </w:t>
      </w:r>
      <w:r>
        <w:t xml:space="preserve">Statistician</w:t>
      </w:r>
      <w:r>
        <w:t xml:space="preserve"> </w:t>
      </w:r>
      <w:r>
        <w:t xml:space="preserve">to deliver specialized statistical consulting, data modeling, and analytical support services. All services described herein will be performed on-site and remotely within the metropolitan region of</w:t>
      </w:r>
      <w:r>
        <w:t xml:space="preserve"> </w:t>
      </w:r>
      <w:r>
        <w:t xml:space="preserve">Brazil, Rio de Janeiro</w:t>
      </w:r>
      <w:r>
        <w:t xml:space="preserve">, in full compliance with the applicable Brazilian data protection legislation (Lei Geral de Proteção de Dados — LGPD, Law No. 13.709/2018) and the professional regulations established by the Conselho Federal de Estatística (CFEstat).</w:t>
      </w:r>
    </w:p>
    <w:p>
      <w:pPr>
        <w:pStyle w:val="BodyText"/>
      </w:pPr>
      <w:r>
        <w:t xml:space="preserve">The</w:t>
      </w:r>
      <w:r>
        <w:t xml:space="preserve"> </w:t>
      </w:r>
      <w:r>
        <w:t xml:space="preserve">Statistician</w:t>
      </w:r>
      <w:r>
        <w:t xml:space="preserve"> </w:t>
      </w:r>
      <w:r>
        <w:t xml:space="preserve">assigned to this project holds a Doctorate in Applied Statistics from the Federal University of Rio de Janeiro (UFRJ) and possesses over fifteen years of professional experience in biostatistics, econometric modeling, and large-scale survey design. The engagement is structured to meet the specific analytical requirements of the client’s ongoing market research and clinical trial monitoring programs conducted across the state of Rio de Janeiro and the broader Southeast region of Brazil.</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(hrs)</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Initial diagnostic meeting and statistical audit of existing datasets (on-site, Rio de Janeiro, RJ)</w:t>
            </w:r>
          </w:p>
        </w:tc>
        <w:tc>
          <w:tcPr/>
          <w:p>
            <w:pPr>
              <w:pStyle w:val="Compact"/>
              <w:jc w:val="left"/>
            </w:pPr>
            <w:r>
              <w:t xml:space="preserve">1</w:t>
            </w:r>
          </w:p>
        </w:tc>
        <w:tc>
          <w:tcPr/>
          <w:p>
            <w:pPr>
              <w:pStyle w:val="Compact"/>
              <w:jc w:val="left"/>
            </w:pPr>
            <w:r>
              <w:t xml:space="preserve">8</w:t>
            </w:r>
          </w:p>
        </w:tc>
        <w:tc>
          <w:tcPr/>
          <w:p>
            <w:pPr>
              <w:pStyle w:val="Compact"/>
              <w:jc w:val="left"/>
            </w:pPr>
            <w:r>
              <w:t xml:space="preserve">R$ 450,00</w:t>
            </w:r>
          </w:p>
        </w:tc>
        <w:tc>
          <w:tcPr/>
          <w:p>
            <w:pPr>
              <w:pStyle w:val="Compact"/>
              <w:jc w:val="left"/>
            </w:pPr>
            <w:r>
              <w:t xml:space="preserve">R$ 3.600,00</w:t>
            </w:r>
          </w:p>
        </w:tc>
      </w:tr>
      <w:tr>
        <w:tc>
          <w:tcPr/>
          <w:p>
            <w:pPr>
              <w:pStyle w:val="Compact"/>
              <w:jc w:val="left"/>
            </w:pPr>
            <w:r>
              <w:t xml:space="preserve">02</w:t>
            </w:r>
          </w:p>
        </w:tc>
        <w:tc>
          <w:tcPr/>
          <w:p>
            <w:pPr>
              <w:pStyle w:val="Compact"/>
              <w:jc w:val="left"/>
            </w:pPr>
            <w:r>
              <w:t xml:space="preserve">Design and implementation of multivariate regression models for market segmentation analysis</w:t>
            </w:r>
          </w:p>
        </w:tc>
        <w:tc>
          <w:tcPr/>
          <w:p>
            <w:pPr>
              <w:pStyle w:val="Compact"/>
              <w:jc w:val="left"/>
            </w:pPr>
            <w:r>
              <w:t xml:space="preserve">1</w:t>
            </w:r>
          </w:p>
        </w:tc>
        <w:tc>
          <w:tcPr/>
          <w:p>
            <w:pPr>
              <w:pStyle w:val="Compact"/>
              <w:jc w:val="left"/>
            </w:pPr>
            <w:r>
              <w:t xml:space="preserve">40</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03</w:t>
            </w:r>
          </w:p>
        </w:tc>
        <w:tc>
          <w:tcPr/>
          <w:p>
            <w:pPr>
              <w:pStyle w:val="Compact"/>
              <w:jc w:val="left"/>
            </w:pPr>
            <w:r>
              <w:t xml:space="preserve">Development of a robust sampling framework and stratified randomization protocol for field surveys in the Rio de Janeiro metropolitan area</w:t>
            </w:r>
          </w:p>
        </w:tc>
        <w:tc>
          <w:tcPr/>
          <w:p>
            <w:pPr>
              <w:pStyle w:val="Compact"/>
              <w:jc w:val="left"/>
            </w:pPr>
            <w:r>
              <w:t xml:space="preserve">1</w:t>
            </w:r>
          </w:p>
        </w:tc>
        <w:tc>
          <w:tcPr/>
          <w:p>
            <w:pPr>
              <w:pStyle w:val="Compact"/>
              <w:jc w:val="left"/>
            </w:pPr>
            <w:r>
              <w:t xml:space="preserve">24</w:t>
            </w:r>
          </w:p>
        </w:tc>
        <w:tc>
          <w:tcPr/>
          <w:p>
            <w:pPr>
              <w:pStyle w:val="Compact"/>
              <w:jc w:val="left"/>
            </w:pPr>
            <w:r>
              <w:t xml:space="preserve">R$ 450,00</w:t>
            </w:r>
          </w:p>
        </w:tc>
        <w:tc>
          <w:tcPr/>
          <w:p>
            <w:pPr>
              <w:pStyle w:val="Compact"/>
              <w:jc w:val="left"/>
            </w:pPr>
            <w:r>
              <w:t xml:space="preserve">R$ 10.800,00</w:t>
            </w:r>
          </w:p>
        </w:tc>
      </w:tr>
      <w:tr>
        <w:tc>
          <w:tcPr/>
          <w:p>
            <w:pPr>
              <w:pStyle w:val="Compact"/>
              <w:jc w:val="left"/>
            </w:pPr>
            <w:r>
              <w:t xml:space="preserve">04</w:t>
            </w:r>
          </w:p>
        </w:tc>
        <w:tc>
          <w:tcPr/>
          <w:p>
            <w:pPr>
              <w:pStyle w:val="Compact"/>
              <w:jc w:val="left"/>
            </w:pPr>
            <w:r>
              <w:t xml:space="preserve">Statistical process control (SPC) implementation and quality assurance review of production data streams</w:t>
            </w:r>
          </w:p>
        </w:tc>
        <w:tc>
          <w:tcPr/>
          <w:p>
            <w:pPr>
              <w:pStyle w:val="Compact"/>
              <w:jc w:val="left"/>
            </w:pPr>
            <w:r>
              <w:t xml:space="preserve">1</w:t>
            </w:r>
          </w:p>
        </w:tc>
        <w:tc>
          <w:tcPr/>
          <w:p>
            <w:pPr>
              <w:pStyle w:val="Compact"/>
              <w:jc w:val="left"/>
            </w:pPr>
            <w:r>
              <w:t xml:space="preserve">32</w:t>
            </w:r>
          </w:p>
        </w:tc>
        <w:tc>
          <w:tcPr/>
          <w:p>
            <w:pPr>
              <w:pStyle w:val="Compact"/>
              <w:jc w:val="left"/>
            </w:pPr>
            <w:r>
              <w:t xml:space="preserve">R$ 450,00</w:t>
            </w:r>
          </w:p>
        </w:tc>
        <w:tc>
          <w:tcPr/>
          <w:p>
            <w:pPr>
              <w:pStyle w:val="Compact"/>
              <w:jc w:val="left"/>
            </w:pPr>
            <w:r>
              <w:t xml:space="preserve">R$ 14.400,00</w:t>
            </w:r>
          </w:p>
        </w:tc>
      </w:tr>
      <w:tr>
        <w:tc>
          <w:tcPr/>
          <w:p>
            <w:pPr>
              <w:pStyle w:val="Compact"/>
              <w:jc w:val="left"/>
            </w:pPr>
            <w:r>
              <w:t xml:space="preserve">05</w:t>
            </w:r>
          </w:p>
        </w:tc>
        <w:tc>
          <w:tcPr/>
          <w:p>
            <w:pPr>
              <w:pStyle w:val="Compact"/>
              <w:jc w:val="left"/>
            </w:pPr>
            <w:r>
              <w:t xml:space="preserve">Preparation of a comprehensive statistical report with visualizations, confidence intervals, and actionable recommendations (delivered in Portuguese and English)</w:t>
            </w:r>
          </w:p>
        </w:tc>
        <w:tc>
          <w:tcPr/>
          <w:p>
            <w:pPr>
              <w:pStyle w:val="Compact"/>
              <w:jc w:val="left"/>
            </w:pPr>
            <w:r>
              <w:t xml:space="preserve">1</w:t>
            </w:r>
          </w:p>
        </w:tc>
        <w:tc>
          <w:tcPr/>
          <w:p>
            <w:pPr>
              <w:pStyle w:val="Compact"/>
              <w:jc w:val="left"/>
            </w:pPr>
            <w:r>
              <w:t xml:space="preserve">16</w:t>
            </w:r>
          </w:p>
        </w:tc>
        <w:tc>
          <w:tcPr/>
          <w:p>
            <w:pPr>
              <w:pStyle w:val="Compact"/>
              <w:jc w:val="left"/>
            </w:pPr>
            <w:r>
              <w:t xml:space="preserve">R$ 450,00</w:t>
            </w:r>
          </w:p>
        </w:tc>
        <w:tc>
          <w:tcPr/>
          <w:p>
            <w:pPr>
              <w:pStyle w:val="Compact"/>
              <w:jc w:val="left"/>
            </w:pPr>
            <w:r>
              <w:t xml:space="preserve">R$ 7.200,00</w:t>
            </w:r>
          </w:p>
        </w:tc>
      </w:tr>
      <w:tr>
        <w:tc>
          <w:tcPr/>
          <w:p>
            <w:pPr>
              <w:pStyle w:val="Compact"/>
              <w:jc w:val="left"/>
            </w:pPr>
            <w:r>
              <w:t xml:space="preserve">06</w:t>
            </w:r>
          </w:p>
        </w:tc>
        <w:tc>
          <w:tcPr/>
          <w:p>
            <w:pPr>
              <w:pStyle w:val="Compact"/>
              <w:jc w:val="left"/>
            </w:pPr>
            <w:r>
              <w:t xml:space="preserve">On-site training workshop for the client’s internal analytics team (half-day, Rio de Janeiro office)</w:t>
            </w:r>
          </w:p>
        </w:tc>
        <w:tc>
          <w:tcPr/>
          <w:p>
            <w:pPr>
              <w:pStyle w:val="Compact"/>
              <w:jc w:val="left"/>
            </w:pPr>
            <w:r>
              <w:t xml:space="preserve">1</w:t>
            </w:r>
          </w:p>
        </w:tc>
        <w:tc>
          <w:tcPr/>
          <w:p>
            <w:pPr>
              <w:pStyle w:val="Compact"/>
              <w:jc w:val="left"/>
            </w:pPr>
            <w:r>
              <w:t xml:space="preserve">4</w:t>
            </w:r>
          </w:p>
        </w:tc>
        <w:tc>
          <w:tcPr/>
          <w:p>
            <w:pPr>
              <w:pStyle w:val="Compact"/>
              <w:jc w:val="left"/>
            </w:pPr>
            <w:r>
              <w:t xml:space="preserve">R$ 500,00</w:t>
            </w:r>
          </w:p>
        </w:tc>
        <w:tc>
          <w:tcPr/>
          <w:p>
            <w:pPr>
              <w:pStyle w:val="Compact"/>
              <w:jc w:val="left"/>
            </w:pPr>
            <w:r>
              <w:t xml:space="preserve">R$ 2.000,00</w:t>
            </w:r>
          </w:p>
        </w:tc>
      </w:tr>
      <w:tr>
        <w:tc>
          <w:tcPr/>
          <w:p>
            <w:pPr>
              <w:pStyle w:val="Compact"/>
              <w:jc w:val="left"/>
            </w:pPr>
            <w:r>
              <w:t xml:space="preserve">07</w:t>
            </w:r>
          </w:p>
        </w:tc>
        <w:tc>
          <w:tcPr/>
          <w:p>
            <w:pPr>
              <w:pStyle w:val="Compact"/>
              <w:jc w:val="left"/>
            </w:pPr>
            <w:r>
              <w:t xml:space="preserve">Post-delivery technical support and model recalibration (remote, within 30 days of final report)</w:t>
            </w:r>
          </w:p>
        </w:tc>
        <w:tc>
          <w:tcPr/>
          <w:p>
            <w:pPr>
              <w:pStyle w:val="Compact"/>
              <w:jc w:val="left"/>
            </w:pPr>
            <w:r>
              <w:t xml:space="preserve">1</w:t>
            </w:r>
          </w:p>
        </w:tc>
        <w:tc>
          <w:tcPr/>
          <w:p>
            <w:pPr>
              <w:pStyle w:val="Compact"/>
              <w:jc w:val="left"/>
            </w:pPr>
            <w:r>
              <w:t xml:space="preserve">8</w:t>
            </w:r>
          </w:p>
        </w:tc>
        <w:tc>
          <w:tcPr/>
          <w:p>
            <w:pPr>
              <w:pStyle w:val="Compact"/>
              <w:jc w:val="left"/>
            </w:pPr>
            <w:r>
              <w:t xml:space="preserve">R$ 400,00</w:t>
            </w:r>
          </w:p>
        </w:tc>
        <w:tc>
          <w:tcPr/>
          <w:p>
            <w:pPr>
              <w:pStyle w:val="Compact"/>
              <w:jc w:val="left"/>
            </w:pPr>
            <w:r>
              <w:t xml:space="preserve">R$ 3.200,00</w:t>
            </w:r>
          </w:p>
        </w:tc>
      </w:tr>
      <w:tr>
        <w:tc>
          <w:tcPr>
            <w:gridSpan w:val="5"/>
          </w:tcPr>
          <w:p>
            <w:pPr>
              <w:pStyle w:val="Compact"/>
              <w:jc w:val="right"/>
            </w:pPr>
            <w:r>
              <w:t xml:space="preserve">Subtotal (BRL):</w:t>
            </w:r>
          </w:p>
        </w:tc>
        <w:tc>
          <w:tcPr/>
          <w:p>
            <w:pPr>
              <w:pStyle w:val="Compact"/>
              <w:jc w:val="left"/>
            </w:pPr>
            <w:r>
              <w:t xml:space="preserve">R$ 59.200,00</w:t>
            </w:r>
          </w:p>
        </w:tc>
      </w:tr>
      <w:tr>
        <w:tc>
          <w:tcPr>
            <w:gridSpan w:val="5"/>
          </w:tcPr>
          <w:p>
            <w:pPr>
              <w:pStyle w:val="Compact"/>
              <w:jc w:val="right"/>
            </w:pPr>
            <w:r>
              <w:t xml:space="preserve">Applicable Tax — ISS (Imposto Sobre Serviços, Rio de Janeiro municipal rate 5%):</w:t>
            </w:r>
          </w:p>
        </w:tc>
        <w:tc>
          <w:tcPr/>
          <w:p>
            <w:pPr>
              <w:pStyle w:val="Compact"/>
              <w:jc w:val="left"/>
            </w:pPr>
            <w:r>
              <w:t xml:space="preserve">R$ 2.960,00</w:t>
            </w:r>
          </w:p>
        </w:tc>
      </w:tr>
      <w:tr>
        <w:tc>
          <w:tcPr>
            <w:gridSpan w:val="5"/>
          </w:tcPr>
          <w:p>
            <w:pPr>
              <w:pStyle w:val="Compact"/>
              <w:jc w:val="right"/>
            </w:pPr>
            <w:r>
              <w:rPr>
                <w:bCs/>
                <w:b/>
              </w:rPr>
              <w:t xml:space="preserve">TOTAL ESTIMATED COST (BRL):</w:t>
            </w:r>
          </w:p>
        </w:tc>
        <w:tc>
          <w:tcPr/>
          <w:p>
            <w:pPr>
              <w:pStyle w:val="Compact"/>
              <w:jc w:val="left"/>
            </w:pPr>
            <w:r>
              <w:rPr>
                <w:bCs/>
                <w:b/>
              </w:rPr>
              <w:t xml:space="preserve">R$ 62.160,00</w:t>
            </w:r>
          </w:p>
        </w:tc>
      </w:tr>
    </w:tbl>
    <w:p>
      <w:pPr>
        <w:pStyle w:val="BodyText"/>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Diagnostic audit &amp; data collection (Rio de Janeiro, on-site)</w:t>
            </w:r>
          </w:p>
        </w:tc>
        <w:tc>
          <w:tcPr/>
          <w:p>
            <w:pPr>
              <w:pStyle w:val="Compact"/>
              <w:jc w:val="left"/>
            </w:pPr>
            <w:r>
              <w:t xml:space="preserve">2 weeks</w:t>
            </w:r>
          </w:p>
        </w:tc>
        <w:tc>
          <w:tcPr/>
          <w:p>
            <w:pPr>
              <w:pStyle w:val="Compact"/>
              <w:jc w:val="left"/>
            </w:pPr>
            <w:r>
              <w:t xml:space="preserve">29 June 2025</w:t>
            </w:r>
          </w:p>
        </w:tc>
      </w:tr>
      <w:tr>
        <w:tc>
          <w:tcPr/>
          <w:p>
            <w:pPr>
              <w:pStyle w:val="Compact"/>
              <w:jc w:val="left"/>
            </w:pPr>
            <w:r>
              <w:t xml:space="preserve">Phase 2</w:t>
            </w:r>
          </w:p>
        </w:tc>
        <w:tc>
          <w:tcPr/>
          <w:p>
            <w:pPr>
              <w:pStyle w:val="Compact"/>
              <w:jc w:val="left"/>
            </w:pPr>
            <w:r>
              <w:t xml:space="preserve">Model development, sampling design &amp; SPC implementation</w:t>
            </w:r>
          </w:p>
        </w:tc>
        <w:tc>
          <w:tcPr/>
          <w:p>
            <w:pPr>
              <w:pStyle w:val="Compact"/>
              <w:jc w:val="left"/>
            </w:pPr>
            <w:r>
              <w:t xml:space="preserve">5 weeks</w:t>
            </w:r>
          </w:p>
        </w:tc>
        <w:tc>
          <w:tcPr/>
          <w:p>
            <w:pPr>
              <w:pStyle w:val="Compact"/>
              <w:jc w:val="left"/>
            </w:pPr>
            <w:r>
              <w:t xml:space="preserve">08 August 2025</w:t>
            </w:r>
          </w:p>
        </w:tc>
      </w:tr>
      <w:tr>
        <w:tc>
          <w:tcPr/>
          <w:p>
            <w:pPr>
              <w:pStyle w:val="Compact"/>
              <w:jc w:val="left"/>
            </w:pPr>
            <w:r>
              <w:t xml:space="preserve">Phase 3</w:t>
            </w:r>
          </w:p>
        </w:tc>
        <w:tc>
          <w:tcPr/>
          <w:p>
            <w:pPr>
              <w:pStyle w:val="Compact"/>
              <w:jc w:val="left"/>
            </w:pPr>
            <w:r>
              <w:t xml:space="preserve">Report writing, training workshop &amp; final delivery</w:t>
            </w:r>
          </w:p>
        </w:tc>
        <w:tc>
          <w:tcPr/>
          <w:p>
            <w:pPr>
              <w:pStyle w:val="Compact"/>
              <w:jc w:val="left"/>
            </w:pPr>
            <w:r>
              <w:t xml:space="preserve">2 weeks</w:t>
            </w:r>
          </w:p>
        </w:tc>
        <w:tc>
          <w:tcPr/>
          <w:p>
            <w:pPr>
              <w:pStyle w:val="Compact"/>
              <w:jc w:val="left"/>
            </w:pPr>
            <w:r>
              <w:t xml:space="preserve">22 August 2025</w:t>
            </w:r>
          </w:p>
        </w:tc>
      </w:tr>
      <w:tr>
        <w:tc>
          <w:tcPr/>
          <w:p>
            <w:pPr>
              <w:pStyle w:val="Compact"/>
              <w:jc w:val="left"/>
            </w:pPr>
            <w:r>
              <w:t xml:space="preserve">Phase 4</w:t>
            </w:r>
          </w:p>
        </w:tc>
        <w:tc>
          <w:tcPr/>
          <w:p>
            <w:pPr>
              <w:pStyle w:val="Compact"/>
              <w:jc w:val="left"/>
            </w:pPr>
            <w:r>
              <w:t xml:space="preserve">Post-delivery support window</w:t>
            </w:r>
          </w:p>
        </w:tc>
        <w:tc>
          <w:tcPr/>
          <w:p>
            <w:pPr>
              <w:pStyle w:val="Compact"/>
              <w:jc w:val="left"/>
            </w:pPr>
            <w:r>
              <w:t xml:space="preserve">30 days</w:t>
            </w:r>
          </w:p>
        </w:tc>
        <w:tc>
          <w:tcPr/>
          <w:p>
            <w:pPr>
              <w:pStyle w:val="Compact"/>
              <w:jc w:val="left"/>
            </w:pPr>
            <w:r>
              <w:t xml:space="preserve">22 September 2025</w:t>
            </w:r>
          </w:p>
        </w:tc>
      </w:tr>
    </w:tbl>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all pricing and availability of the</w:t>
      </w:r>
      <w:r>
        <w:t xml:space="preserve"> </w:t>
      </w:r>
      <w:r>
        <w:t xml:space="preserve">Statistician</w:t>
      </w:r>
      <w:r>
        <w:t xml:space="preserve"> </w:t>
      </w:r>
      <w:r>
        <w:t xml:space="preserve">must be reconfirmed in writing.</w:t>
      </w:r>
    </w:p>
    <w:p>
      <w:pPr>
        <w:numPr>
          <w:ilvl w:val="0"/>
          <w:numId w:val="1001"/>
        </w:numPr>
        <w:pStyle w:val="Compact"/>
      </w:pPr>
      <w:r>
        <w:t xml:space="preserve">All services will be rendered in accordance with the professional ethics code of the Conselho Federal de Estatística and the data privacy requirements of the LGPD. The</w:t>
      </w:r>
      <w:r>
        <w:t xml:space="preserve"> </w:t>
      </w:r>
      <w:r>
        <w:t xml:space="preserve">Statistician</w:t>
      </w:r>
      <w:r>
        <w:t xml:space="preserve"> </w:t>
      </w:r>
      <w:r>
        <w:t xml:space="preserve">shall execute a Non-Disclosure Agreement (NDA) prior to accessing any client data.</w:t>
      </w:r>
    </w:p>
    <w:p>
      <w:pPr>
        <w:numPr>
          <w:ilvl w:val="0"/>
          <w:numId w:val="1001"/>
        </w:numPr>
        <w:pStyle w:val="Compact"/>
      </w:pPr>
      <w:r>
        <w:t xml:space="preserve">Payment terms: 40% advance upon contract signing; 40% upon delivery of the statistical report; 20% upon completion of the post-delivery support window. Payments shall be made via bank transfer (TED/PIX) to the account details provided in the formal invoice (Nota Fiscal de Serviços) issued in the municipality of Rio de Janeiro, Brazil.</w:t>
      </w:r>
    </w:p>
    <w:p>
      <w:pPr>
        <w:numPr>
          <w:ilvl w:val="0"/>
          <w:numId w:val="1001"/>
        </w:numPr>
        <w:pStyle w:val="Compact"/>
      </w:pPr>
      <w:r>
        <w:t xml:space="preserve">The estimated total of R$ 62.160,00 (sixty-two thousand one hundred and sixty Brazilian Reais) is inclusive of the municipal service tax (ISS) applicable in Rio de Janeiro. Any additional federal or state taxes, if applicable to the client’s specific tax regime, shall be communicated prior to invoicing.</w:t>
      </w:r>
    </w:p>
    <w:p>
      <w:pPr>
        <w:numPr>
          <w:ilvl w:val="0"/>
          <w:numId w:val="1001"/>
        </w:numPr>
        <w:pStyle w:val="Compact"/>
      </w:pPr>
      <w:r>
        <w:t xml:space="preserve">Travel and accommodation costs within the city of Rio de Janeiro are included. Travel to other municipalities in the state of Rio de Janeiro or to other states in Brazil will be quoted separately at actual cost plus a 10% administrative surcharge.</w:t>
      </w:r>
    </w:p>
    <w:p>
      <w:pPr>
        <w:numPr>
          <w:ilvl w:val="0"/>
          <w:numId w:val="1001"/>
        </w:numPr>
        <w:pStyle w:val="Compact"/>
      </w:pPr>
      <w:r>
        <w:t xml:space="preserve">Scope changes or additional analytical requests beyond the items listed in Section 3 will be subject to a supplementary</w:t>
      </w:r>
      <w:r>
        <w:t xml:space="preserve"> </w:t>
      </w:r>
      <w:r>
        <w:t xml:space="preserve">Quotation Estimate</w:t>
      </w:r>
      <w:r>
        <w:t xml:space="preserve"> </w:t>
      </w:r>
      <w:r>
        <w:t xml:space="preserve">and require written approval from both parties before execution.</w:t>
      </w:r>
    </w:p>
    <w:p>
      <w:pPr>
        <w:numPr>
          <w:ilvl w:val="0"/>
          <w:numId w:val="1001"/>
        </w:numPr>
        <w:pStyle w:val="Compact"/>
      </w:pPr>
      <w:r>
        <w:t xml:space="preserve">Intellectual property of all models, code, and reports developed under this engagement shall vest in the client upon full payment. The</w:t>
      </w:r>
      <w:r>
        <w:t xml:space="preserve"> </w:t>
      </w:r>
      <w:r>
        <w:t xml:space="preserve">Statistician</w:t>
      </w:r>
      <w:r>
        <w:t xml:space="preserve"> </w:t>
      </w:r>
      <w:r>
        <w:t xml:space="preserve">retains the right to reference the engagement in professional portfolios with prior written consent.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(Contrato de Prestação de Serviços) must be executed by both parties before any work commences. The agreement shall be governed by the laws of the Federative Republic of Brazil, with jurisdiction of the courts of Rio de Janeiro, RJ.</w:t>
      </w:r>
    </w:p>
    <w:p>
      <w:pPr>
        <w:numPr>
          <w:ilvl w:val="0"/>
          <w:numId w:val="1001"/>
        </w:numPr>
        <w:pStyle w:val="Compact"/>
      </w:pPr>
      <w:r>
        <w:t xml:space="preserve">Force majeure events, including but not limited to public health emergencies, natural disasters affecting the Rio de Janeiro region, or government-mandated operational suspensions, shall extend the project timeline proportionally without penalty to either party.</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Statistician</w:t>
      </w:r>
      <w:r>
        <w:t xml:space="preserve"> </w:t>
      </w:r>
      <w:r>
        <w:t xml:space="preserve">services in</w:t>
      </w:r>
      <w:r>
        <w:t xml:space="preserve"> </w:t>
      </w:r>
      <w:r>
        <w:t xml:space="preserve">Brazil, Rio de Janeiro</w:t>
      </w:r>
      <w:r>
        <w:t xml:space="preserve">, and authorizes the preparation of a formal service contract based on the terms outlined herein.</w:t>
      </w:r>
    </w:p>
    <w:p>
      <w:pPr>
        <w:pStyle w:val="BodyText"/>
      </w:pPr>
      <w:r>
        <w:rPr>
          <w:bCs/>
          <w:b/>
        </w:rPr>
        <w:t xml:space="preserve">For the Service Provider</w:t>
      </w:r>
      <w:r>
        <w:br/>
      </w:r>
      <w:r>
        <w:t xml:space="preserve">Statistical Consulting &amp; Data Analysis Division</w:t>
      </w:r>
      <w:r>
        <w:br/>
      </w:r>
      <w:r>
        <w:t xml:space="preserve">Rio de Janeiro, RJ — Brazil</w:t>
      </w:r>
      <w:r>
        <w:br/>
      </w:r>
      <w:r>
        <w:t xml:space="preserve">Name: Prof. Dr. Ricardo Almeida</w:t>
      </w:r>
      <w:r>
        <w:br/>
      </w:r>
      <w:r>
        <w:t xml:space="preserve">CFEstat Registration: 45.892</w:t>
      </w:r>
    </w:p>
    <w:p>
      <w:pPr>
        <w:pStyle w:val="BodyText"/>
      </w:pPr>
      <w:r>
        <w:rPr>
          <w:bCs/>
          <w:b/>
        </w:rPr>
        <w:t xml:space="preserve">For the Client</w:t>
      </w:r>
      <w:r>
        <w:br/>
      </w:r>
      <w:r>
        <w:t xml:space="preserve">Empresa de Pesquisa e Desenvolvimento S.A.</w:t>
      </w:r>
      <w:r>
        <w:br/>
      </w:r>
      <w:r>
        <w:t xml:space="preserve">Rio de Janeiro, RJ — Brazil</w:t>
      </w:r>
      <w:r>
        <w:br/>
      </w:r>
      <w:r>
        <w:t xml:space="preserve">Name: Dra. Mariana Costa</w:t>
      </w:r>
      <w:r>
        <w:br/>
      </w:r>
      <w:r>
        <w:t xml:space="preserve">CNPJ: 98.765.432/0001-10</w:t>
      </w:r>
    </w:p>
    <w:p>
      <w:pPr>
        <w:pStyle w:val="BodyText"/>
      </w:pPr>
      <w:r>
        <w:t xml:space="preserve">This Quotation Estimate (QE-2025-04871) was generated on 15 June 2025 and is valid until 15 July 2025.</w:t>
      </w:r>
      <w:r>
        <w:br/>
      </w:r>
      <w:r>
        <w:t xml:space="preserve">All amounts are expressed in Brazilian Reais (BRL / R$). Prices are subject to revision upon expiration.</w:t>
      </w:r>
      <w:r>
        <w:br/>
      </w:r>
      <w:r>
        <w:t xml:space="preserve">© 2025 Statistical Consulting &amp; Data Analysis Division — Rio de Janeiro, RJ — Brazil.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Brazil Rio de Janeiro</dc:title>
  <dc:creator/>
  <dc:language>en</dc:language>
  <cp:keywords/>
  <dcterms:created xsi:type="dcterms:W3CDTF">2026-10-10T05:11:11Z</dcterms:created>
  <dcterms:modified xsi:type="dcterms:W3CDTF">2026-10-10T05:11:11Z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