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Statistician Services — Canada Vancouver</w:t>
      </w:r>
    </w:p>
    <w:p>
      <w:pPr>
        <w:pStyle w:val="BodyText"/>
      </w:pPr>
      <w:r>
        <w:t xml:space="preserve">Quotation No. QTE-2025-VAN-0847 | Date: June 12, 2025 | Valid Until: July 12, 2025</w:t>
      </w:r>
    </w:p>
    <w:bookmarkEnd w:id="20"/>
    <w:bookmarkStart w:id="21" w:name="prepared-by"/>
    <w:p>
      <w:pPr>
        <w:pStyle w:val="Heading3"/>
      </w:pPr>
      <w:r>
        <w:t xml:space="preserve">Prepared By</w:t>
      </w:r>
    </w:p>
    <w:p>
      <w:pPr>
        <w:pStyle w:val="FirstParagraph"/>
      </w:pPr>
      <w:r>
        <w:rPr>
          <w:bCs/>
          <w:b/>
        </w:rPr>
        <w:t xml:space="preserve">Dr. Eleanor Whitfield, PhD, MSc</w:t>
      </w:r>
    </w:p>
    <w:p>
      <w:pPr>
        <w:pStyle w:val="BodyText"/>
      </w:pPr>
      <w:r>
        <w:t xml:space="preserve">Lead Statistician &amp; Data Analyst</w:t>
      </w:r>
    </w:p>
    <w:p>
      <w:pPr>
        <w:pStyle w:val="BodyText"/>
      </w:pPr>
      <w:r>
        <w:t xml:space="preserve">Whitfield Statistical Consulting Ltd.</w:t>
      </w:r>
    </w:p>
    <w:p>
      <w:pPr>
        <w:pStyle w:val="BodyText"/>
      </w:pPr>
      <w:r>
        <w:t xml:space="preserve">1200 West Georgia Street, Suite 450</w:t>
      </w:r>
    </w:p>
    <w:p>
      <w:pPr>
        <w:pStyle w:val="BodyText"/>
      </w:pPr>
      <w:r>
        <w:t xml:space="preserve">Vancouver, British Columbia, Canada V6E 1Y2</w:t>
      </w:r>
    </w:p>
    <w:p>
      <w:pPr>
        <w:pStyle w:val="BodyText"/>
      </w:pPr>
      <w:r>
        <w:t xml:space="preserve">Phone: +1 (604) 555-0192</w:t>
      </w:r>
    </w:p>
    <w:p>
      <w:pPr>
        <w:pStyle w:val="BodyText"/>
      </w:pPr>
      <w:r>
        <w:t xml:space="preserve">Email: e.whitfield@whitfieldstat.ca</w:t>
      </w:r>
    </w:p>
    <w:bookmarkEnd w:id="21"/>
    <w:bookmarkStart w:id="22" w:name="prepared-for"/>
    <w:p>
      <w:pPr>
        <w:pStyle w:val="Heading3"/>
      </w:pPr>
      <w:r>
        <w:t xml:space="preserve">Prepared For</w:t>
      </w:r>
    </w:p>
    <w:p>
      <w:pPr>
        <w:pStyle w:val="FirstParagraph"/>
      </w:pPr>
      <w:r>
        <w:rPr>
          <w:bCs/>
          <w:b/>
        </w:rPr>
        <w:t xml:space="preserve">Mr. David Chen</w:t>
      </w:r>
    </w:p>
    <w:p>
      <w:pPr>
        <w:pStyle w:val="BodyText"/>
      </w:pPr>
      <w:r>
        <w:t xml:space="preserve">Director of Research &amp; Analytics</w:t>
      </w:r>
    </w:p>
    <w:p>
      <w:pPr>
        <w:pStyle w:val="BodyText"/>
      </w:pPr>
      <w:r>
        <w:t xml:space="preserve">Pacific Northwest Biotech Inc.</w:t>
      </w:r>
    </w:p>
    <w:p>
      <w:pPr>
        <w:pStyle w:val="BodyText"/>
      </w:pPr>
      <w:r>
        <w:t xml:space="preserve">888 Burrard Street, Floor 12</w:t>
      </w:r>
    </w:p>
    <w:p>
      <w:pPr>
        <w:pStyle w:val="BodyText"/>
      </w:pPr>
      <w:r>
        <w:t xml:space="preserve">Vancouver, British Columbia, Canada V6Z 2Y7</w:t>
      </w:r>
    </w:p>
    <w:p>
      <w:pPr>
        <w:pStyle w:val="BodyText"/>
      </w:pPr>
      <w:r>
        <w:t xml:space="preserve">Phone: +1 (604) 555-0347</w:t>
      </w:r>
    </w:p>
    <w:p>
      <w:pPr>
        <w:pStyle w:val="BodyText"/>
      </w:pPr>
      <w:r>
        <w:t xml:space="preserve">Email: d.chen@pnbiotech.ca</w:t>
      </w:r>
    </w:p>
    <w:bookmarkEnd w:id="22"/>
    <w:p>
      <w:pPr>
        <w:pStyle w:val="BodyText"/>
      </w:pPr>
      <w:r>
        <w:t xml:space="preserve">1. Purpose of This Quotation Estimate</w:t>
      </w:r>
    </w:p>
    <w:p>
      <w:pPr>
        <w:pStyle w:val="BodyText"/>
      </w:pPr>
      <w:r>
        <w:t xml:space="preserve">This Quotation Estimate has been prepared specifically for Pacific Northwest Biotech Inc. to outline the scope, deliverables, and associated costs for engaging a qualified Statistician to support the company's ongoing clinical trial analysis and regulatory reporting requirements. As a Statistician operating within the Canada Vancouver region, I bring over fifteen years of experience in biostatistics, epidemiological modelling, and regulatory compliance aligned with Health Canada and the U.S. FDA frameworks. This Quotation Estimate reflects the current market rates for specialized statistical consulting services in Canada Vancouver and is structured to provide full transparency regarding all fees, timelines, and professional obligations.</w:t>
      </w:r>
    </w:p>
    <w:p>
      <w:pPr>
        <w:pStyle w:val="BodyText"/>
      </w:pPr>
      <w:r>
        <w:t xml:space="preserve">2. Scope of Services</w:t>
      </w:r>
    </w:p>
    <w:p>
      <w:pPr>
        <w:pStyle w:val="BodyText"/>
      </w:pPr>
      <w:r>
        <w:t xml:space="preserve">The Statistician engagement described in this Quotation Estimate encompasses the following core service areas:</w:t>
      </w:r>
    </w:p>
    <w:p>
      <w:pPr>
        <w:numPr>
          <w:ilvl w:val="0"/>
          <w:numId w:val="1001"/>
        </w:numPr>
        <w:pStyle w:val="Compact"/>
      </w:pPr>
      <w:r>
        <w:rPr>
          <w:bCs/>
          <w:b/>
        </w:rPr>
        <w:t xml:space="preserve">Clinical Trial Design &amp; Statistical Planning:</w:t>
      </w:r>
      <w:r>
        <w:t xml:space="preserve"> </w:t>
      </w:r>
      <w:r>
        <w:t xml:space="preserve">Development of comprehensive statistical analysis plans (SAPs) for Phase II and Phase III clinical trials, including sample size justification, randomization schemes, and interim analysis protocols.</w:t>
      </w:r>
    </w:p>
    <w:p>
      <w:pPr>
        <w:numPr>
          <w:ilvl w:val="0"/>
          <w:numId w:val="1001"/>
        </w:numPr>
        <w:pStyle w:val="Compact"/>
      </w:pPr>
      <w:r>
        <w:rPr>
          <w:bCs/>
          <w:b/>
        </w:rPr>
        <w:t xml:space="preserve">Data Analysis &amp; Modelling:</w:t>
      </w:r>
      <w:r>
        <w:t xml:space="preserve"> </w:t>
      </w:r>
      <w:r>
        <w:t xml:space="preserve">Execution of multivariate regression analyses, survival modelling (Cox proportional hazards, Kaplan-Meier), mixed-effects models, and Bayesian hierarchical modelling using R, SAS, and Python.</w:t>
      </w:r>
    </w:p>
    <w:p>
      <w:pPr>
        <w:numPr>
          <w:ilvl w:val="0"/>
          <w:numId w:val="1001"/>
        </w:numPr>
        <w:pStyle w:val="Compact"/>
      </w:pPr>
      <w:r>
        <w:rPr>
          <w:bCs/>
          <w:b/>
        </w:rPr>
        <w:t xml:space="preserve">Regulatory Reporting Support:</w:t>
      </w:r>
      <w:r>
        <w:t xml:space="preserve"> </w:t>
      </w:r>
      <w:r>
        <w:t xml:space="preserve">Preparation of statistical sections for Common Technical Documents (CTD), submission dossiers to Health Canada, and responses to regulatory information requests.</w:t>
      </w:r>
    </w:p>
    <w:p>
      <w:pPr>
        <w:numPr>
          <w:ilvl w:val="0"/>
          <w:numId w:val="1001"/>
        </w:numPr>
        <w:pStyle w:val="Compact"/>
      </w:pPr>
      <w:r>
        <w:rPr>
          <w:bCs/>
          <w:b/>
        </w:rPr>
        <w:t xml:space="preserve">Quality Assurance &amp; Audit Readiness:</w:t>
      </w:r>
      <w:r>
        <w:t xml:space="preserve"> </w:t>
      </w:r>
      <w:r>
        <w:t xml:space="preserve">Implementation of statistical quality control procedures, code review, and preparation for Health Canada inspection readiness.</w:t>
      </w:r>
    </w:p>
    <w:p>
      <w:pPr>
        <w:numPr>
          <w:ilvl w:val="0"/>
          <w:numId w:val="1001"/>
        </w:numPr>
        <w:pStyle w:val="Compact"/>
      </w:pPr>
      <w:r>
        <w:rPr>
          <w:bCs/>
          <w:b/>
        </w:rPr>
        <w:t xml:space="preserve">Advisory &amp; Training:</w:t>
      </w:r>
      <w:r>
        <w:t xml:space="preserve"> </w:t>
      </w:r>
      <w:r>
        <w:t xml:space="preserve">On-site and remote advisory sessions for the internal data science team, including workshops on best practices in statistical methodology and data governance.</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Statistical Analysis Plan (SAP) Development — Phase III Oncology Trial</w:t>
            </w:r>
          </w:p>
        </w:tc>
        <w:tc>
          <w:tcPr/>
          <w:p>
            <w:pPr>
              <w:pStyle w:val="Compact"/>
              <w:jc w:val="left"/>
            </w:pPr>
            <w:r>
              <w:t xml:space="preserve">40 hours</w:t>
            </w:r>
          </w:p>
        </w:tc>
        <w:tc>
          <w:tcPr/>
          <w:p>
            <w:pPr>
              <w:pStyle w:val="Compact"/>
              <w:jc w:val="left"/>
            </w:pPr>
            <w:r>
              <w:t xml:space="preserve">$185.00/hr</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Interim Analysis &amp; Data Monitoring Committee (DMC) Reporting</w:t>
            </w:r>
          </w:p>
        </w:tc>
        <w:tc>
          <w:tcPr/>
          <w:p>
            <w:pPr>
              <w:pStyle w:val="Compact"/>
              <w:jc w:val="left"/>
            </w:pPr>
            <w:r>
              <w:t xml:space="preserve">60 hours</w:t>
            </w:r>
          </w:p>
        </w:tc>
        <w:tc>
          <w:tcPr/>
          <w:p>
            <w:pPr>
              <w:pStyle w:val="Compact"/>
              <w:jc w:val="left"/>
            </w:pPr>
            <w:r>
              <w:t xml:space="preserve">$185.00/hr</w:t>
            </w:r>
          </w:p>
        </w:tc>
        <w:tc>
          <w:tcPr/>
          <w:p>
            <w:pPr>
              <w:pStyle w:val="Compact"/>
              <w:jc w:val="left"/>
            </w:pPr>
            <w:r>
              <w:t xml:space="preserve">$11,100.00</w:t>
            </w:r>
          </w:p>
        </w:tc>
      </w:tr>
      <w:tr>
        <w:tc>
          <w:tcPr/>
          <w:p>
            <w:pPr>
              <w:pStyle w:val="Compact"/>
              <w:jc w:val="left"/>
            </w:pPr>
            <w:r>
              <w:t xml:space="preserve">03</w:t>
            </w:r>
          </w:p>
        </w:tc>
        <w:tc>
          <w:tcPr/>
          <w:p>
            <w:pPr>
              <w:pStyle w:val="Compact"/>
              <w:jc w:val="left"/>
            </w:pPr>
            <w:r>
              <w:t xml:space="preserve">Final Statistical Analysis &amp; Report Writing</w:t>
            </w:r>
          </w:p>
        </w:tc>
        <w:tc>
          <w:tcPr/>
          <w:p>
            <w:pPr>
              <w:pStyle w:val="Compact"/>
              <w:jc w:val="left"/>
            </w:pPr>
            <w:r>
              <w:t xml:space="preserve">80 hours</w:t>
            </w:r>
          </w:p>
        </w:tc>
        <w:tc>
          <w:tcPr/>
          <w:p>
            <w:pPr>
              <w:pStyle w:val="Compact"/>
              <w:jc w:val="left"/>
            </w:pPr>
            <w:r>
              <w:t xml:space="preserve">$185.00/hr</w:t>
            </w:r>
          </w:p>
        </w:tc>
        <w:tc>
          <w:tcPr/>
          <w:p>
            <w:pPr>
              <w:pStyle w:val="Compact"/>
              <w:jc w:val="left"/>
            </w:pPr>
            <w:r>
              <w:t xml:space="preserve">$14,800.00</w:t>
            </w:r>
          </w:p>
        </w:tc>
      </w:tr>
      <w:tr>
        <w:tc>
          <w:tcPr/>
          <w:p>
            <w:pPr>
              <w:pStyle w:val="Compact"/>
              <w:jc w:val="left"/>
            </w:pPr>
            <w:r>
              <w:t xml:space="preserve">04</w:t>
            </w:r>
          </w:p>
        </w:tc>
        <w:tc>
          <w:tcPr/>
          <w:p>
            <w:pPr>
              <w:pStyle w:val="Compact"/>
              <w:jc w:val="left"/>
            </w:pPr>
            <w:r>
              <w:t xml:space="preserve">Regulatory Submission Support (Health Canada CTD Module 2.7)</w:t>
            </w:r>
          </w:p>
        </w:tc>
        <w:tc>
          <w:tcPr/>
          <w:p>
            <w:pPr>
              <w:pStyle w:val="Compact"/>
              <w:jc w:val="left"/>
            </w:pPr>
            <w:r>
              <w:t xml:space="preserve">30 hours</w:t>
            </w:r>
          </w:p>
        </w:tc>
        <w:tc>
          <w:tcPr/>
          <w:p>
            <w:pPr>
              <w:pStyle w:val="Compact"/>
              <w:jc w:val="left"/>
            </w:pPr>
            <w:r>
              <w:t xml:space="preserve">$195.00/hr</w:t>
            </w:r>
          </w:p>
        </w:tc>
        <w:tc>
          <w:tcPr/>
          <w:p>
            <w:pPr>
              <w:pStyle w:val="Compact"/>
              <w:jc w:val="left"/>
            </w:pPr>
            <w:r>
              <w:t xml:space="preserve">$5,850.00</w:t>
            </w:r>
          </w:p>
        </w:tc>
      </w:tr>
      <w:tr>
        <w:tc>
          <w:tcPr/>
          <w:p>
            <w:pPr>
              <w:pStyle w:val="Compact"/>
              <w:jc w:val="left"/>
            </w:pPr>
            <w:r>
              <w:t xml:space="preserve">05</w:t>
            </w:r>
          </w:p>
        </w:tc>
        <w:tc>
          <w:tcPr/>
          <w:p>
            <w:pPr>
              <w:pStyle w:val="Compact"/>
              <w:jc w:val="left"/>
            </w:pPr>
            <w:r>
              <w:t xml:space="preserve">Team Training Workshop (2 sessions, 4 hours each, in Vancouver office)</w:t>
            </w:r>
          </w:p>
        </w:tc>
        <w:tc>
          <w:tcPr/>
          <w:p>
            <w:pPr>
              <w:pStyle w:val="Compact"/>
              <w:jc w:val="left"/>
            </w:pPr>
            <w:r>
              <w:t xml:space="preserve">8 hours</w:t>
            </w:r>
          </w:p>
        </w:tc>
        <w:tc>
          <w:tcPr/>
          <w:p>
            <w:pPr>
              <w:pStyle w:val="Compact"/>
              <w:jc w:val="left"/>
            </w:pPr>
            <w:r>
              <w:t xml:space="preserve">$210.00/hr</w:t>
            </w:r>
          </w:p>
        </w:tc>
        <w:tc>
          <w:tcPr/>
          <w:p>
            <w:pPr>
              <w:pStyle w:val="Compact"/>
              <w:jc w:val="left"/>
            </w:pPr>
            <w:r>
              <w:t xml:space="preserve">$1,680.00</w:t>
            </w:r>
          </w:p>
        </w:tc>
      </w:tr>
      <w:tr>
        <w:tc>
          <w:tcPr/>
          <w:p>
            <w:pPr>
              <w:pStyle w:val="Compact"/>
              <w:jc w:val="left"/>
            </w:pPr>
            <w:r>
              <w:t xml:space="preserve">06</w:t>
            </w:r>
          </w:p>
        </w:tc>
        <w:tc>
          <w:tcPr/>
          <w:p>
            <w:pPr>
              <w:pStyle w:val="Compact"/>
              <w:jc w:val="left"/>
            </w:pPr>
            <w:r>
              <w:t xml:space="preserve">Ongoing Advisory &amp; Email Support (monthly retainer, 3 months)</w:t>
            </w:r>
          </w:p>
        </w:tc>
        <w:tc>
          <w:tcPr/>
          <w:p>
            <w:pPr>
              <w:pStyle w:val="Compact"/>
              <w:jc w:val="left"/>
            </w:pPr>
            <w:r>
              <w:t xml:space="preserve">3 months</w:t>
            </w:r>
          </w:p>
        </w:tc>
        <w:tc>
          <w:tcPr/>
          <w:p>
            <w:pPr>
              <w:pStyle w:val="Compact"/>
              <w:jc w:val="left"/>
            </w:pPr>
            <w:r>
              <w:t xml:space="preserve">$1,200.00/mo</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Software Licensing &amp; Computational Resources (SAS, R packages, cloud compute)</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$2,450.00</w:t>
            </w:r>
          </w:p>
        </w:tc>
      </w:tr>
      <w:tr>
        <w:tc>
          <w:tcPr/>
          <w:p>
            <w:pPr>
              <w:pStyle w:val="Compact"/>
              <w:jc w:val="left"/>
            </w:pPr>
            <w:r>
              <w:t xml:space="preserve">08</w:t>
            </w:r>
          </w:p>
        </w:tc>
        <w:tc>
          <w:tcPr/>
          <w:p>
            <w:pPr>
              <w:pStyle w:val="Compact"/>
              <w:jc w:val="left"/>
            </w:pPr>
            <w:r>
              <w:t xml:space="preserve">Travel &amp; Local Transportation within Canada Vancouver Metro Area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$650.00</w:t>
            </w:r>
          </w:p>
        </w:tc>
      </w:tr>
      <w:tr>
        <w:tc>
          <w:tcPr>
            <w:gridSpan w:val="4"/>
          </w:tcPr>
          <w:p>
            <w:pPr>
              <w:pStyle w:val="Compact"/>
              <w:jc w:val="right"/>
            </w:pPr>
            <w:r>
              <w:t xml:space="preserve">Subtotal (CAD)</w:t>
            </w:r>
          </w:p>
        </w:tc>
        <w:tc>
          <w:tcPr/>
          <w:p>
            <w:pPr>
              <w:pStyle w:val="Compact"/>
              <w:jc w:val="left"/>
            </w:pPr>
            <w:r>
              <w:t xml:space="preserve">$47,530.00</w:t>
            </w:r>
          </w:p>
        </w:tc>
      </w:tr>
      <w:tr>
        <w:tc>
          <w:tcPr>
            <w:gridSpan w:val="4"/>
          </w:tcPr>
          <w:p>
            <w:pPr>
              <w:pStyle w:val="Compact"/>
              <w:jc w:val="right"/>
            </w:pPr>
            <w:r>
              <w:t xml:space="preserve">GST (5% — Federal, Canada)</w:t>
            </w:r>
          </w:p>
        </w:tc>
        <w:tc>
          <w:tcPr/>
          <w:p>
            <w:pPr>
              <w:pStyle w:val="Compact"/>
              <w:jc w:val="left"/>
            </w:pPr>
            <w:r>
              <w:t xml:space="preserve">$2,376.50</w:t>
            </w:r>
          </w:p>
        </w:tc>
      </w:tr>
      <w:tr>
        <w:tc>
          <w:tcPr>
            <w:gridSpan w:val="4"/>
          </w:tcPr>
          <w:p>
            <w:pPr>
              <w:pStyle w:val="Compact"/>
              <w:jc w:val="right"/>
            </w:pPr>
            <w:r>
              <w:t xml:space="preserve">PST (7% — British Columbia)</w:t>
            </w:r>
          </w:p>
        </w:tc>
        <w:tc>
          <w:tcPr/>
          <w:p>
            <w:pPr>
              <w:pStyle w:val="Compact"/>
              <w:jc w:val="left"/>
            </w:pPr>
            <w:r>
              <w:t xml:space="preserve">$3,327.10</w:t>
            </w:r>
          </w:p>
        </w:tc>
      </w:tr>
      <w:tr>
        <w:tc>
          <w:tcPr>
            <w:gridSpan w:val="4"/>
          </w:tcPr>
          <w:p>
            <w:pPr>
              <w:pStyle w:val="Compact"/>
              <w:jc w:val="right"/>
            </w:pPr>
            <w:r>
              <w:t xml:space="preserve">TOTAL ESTIMATED COST (CAD)</w:t>
            </w:r>
          </w:p>
        </w:tc>
        <w:tc>
          <w:tcPr/>
          <w:p>
            <w:pPr>
              <w:pStyle w:val="Compact"/>
              <w:jc w:val="left"/>
            </w:pPr>
            <w:r>
              <w:t xml:space="preserve">$53,233.60</w:t>
            </w:r>
          </w:p>
        </w:tc>
      </w:tr>
    </w:tbl>
    <w:p>
      <w:pPr>
        <w:pStyle w:val="BodyText"/>
      </w:pPr>
      <w:r>
        <w:rPr>
          <w:bCs/>
          <w:b/>
        </w:rPr>
        <w:t xml:space="preserve">Note on Rates:</w:t>
      </w:r>
      <w:r>
        <w:t xml:space="preserve"> </w:t>
      </w:r>
      <w:r>
        <w:t xml:space="preserve">The hourly rates specified in this Quotation Estimate are consistent with prevailing Statistician consulting rates in Canada Vancouver for 2025. Rates for regulatory submission support and training workshops are marginally higher to reflect the specialized expertise and preparation required. All amounts are quoted in Canadian Dollars (CAD) and are inclusive of professional liability insurance coverage.</w:t>
      </w:r>
    </w:p>
    <w:p>
      <w:pPr>
        <w:pStyle w:val="BodyText"/>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w:t>
            </w:r>
          </w:p>
        </w:tc>
        <w:tc>
          <w:tcPr/>
          <w:p>
            <w:pPr>
              <w:pStyle w:val="Compact"/>
              <w:jc w:val="left"/>
            </w:pPr>
            <w:r>
              <w:t xml:space="preserve">Deliverable</w:t>
            </w:r>
          </w:p>
        </w:tc>
      </w:tr>
      <w:tr>
        <w:tc>
          <w:tcPr/>
          <w:p>
            <w:pPr>
              <w:pStyle w:val="Compact"/>
              <w:jc w:val="left"/>
            </w:pPr>
            <w:r>
              <w:t xml:space="preserve">SAP Finalization &amp; Client Approval</w:t>
            </w:r>
          </w:p>
        </w:tc>
        <w:tc>
          <w:tcPr/>
          <w:p>
            <w:pPr>
              <w:pStyle w:val="Compact"/>
              <w:jc w:val="left"/>
            </w:pPr>
            <w:r>
              <w:t xml:space="preserve">July 15, 2025</w:t>
            </w:r>
          </w:p>
        </w:tc>
        <w:tc>
          <w:tcPr/>
          <w:p>
            <w:pPr>
              <w:pStyle w:val="Compact"/>
              <w:jc w:val="left"/>
            </w:pPr>
            <w:r>
              <w:t xml:space="preserve">Signed SAP document, randomization protocol</w:t>
            </w:r>
          </w:p>
        </w:tc>
      </w:tr>
      <w:tr>
        <w:tc>
          <w:tcPr/>
          <w:p>
            <w:pPr>
              <w:pStyle w:val="Compact"/>
              <w:jc w:val="left"/>
            </w:pPr>
            <w:r>
              <w:t xml:space="preserve">Interim Analysis Report</w:t>
            </w:r>
          </w:p>
        </w:tc>
        <w:tc>
          <w:tcPr/>
          <w:p>
            <w:pPr>
              <w:pStyle w:val="Compact"/>
              <w:jc w:val="left"/>
            </w:pPr>
            <w:r>
              <w:t xml:space="preserve">September 30, 2025</w:t>
            </w:r>
          </w:p>
        </w:tc>
        <w:tc>
          <w:tcPr/>
          <w:p>
            <w:pPr>
              <w:pStyle w:val="Compact"/>
              <w:jc w:val="left"/>
            </w:pPr>
            <w:r>
              <w:t xml:space="preserve">DMC report, statistical summary tables</w:t>
            </w:r>
          </w:p>
        </w:tc>
      </w:tr>
      <w:tr>
        <w:tc>
          <w:tcPr/>
          <w:p>
            <w:pPr>
              <w:pStyle w:val="Compact"/>
              <w:jc w:val="left"/>
            </w:pPr>
            <w:r>
              <w:t xml:space="preserve">Final Analysis &amp; Regulatory Submission</w:t>
            </w:r>
          </w:p>
        </w:tc>
        <w:tc>
          <w:tcPr/>
          <w:p>
            <w:pPr>
              <w:pStyle w:val="Compact"/>
              <w:jc w:val="left"/>
            </w:pPr>
            <w:r>
              <w:t xml:space="preserve">December 15, 2025</w:t>
            </w:r>
          </w:p>
        </w:tc>
        <w:tc>
          <w:tcPr/>
          <w:p>
            <w:pPr>
              <w:pStyle w:val="Compact"/>
              <w:jc w:val="left"/>
            </w:pPr>
            <w:r>
              <w:t xml:space="preserve">Complete CTD Module 2.7, final statistical report</w:t>
            </w:r>
          </w:p>
        </w:tc>
      </w:tr>
      <w:tr>
        <w:tc>
          <w:tcPr/>
          <w:p>
            <w:pPr>
              <w:pStyle w:val="Compact"/>
              <w:jc w:val="left"/>
            </w:pPr>
            <w:r>
              <w:t xml:space="preserve">Training Workshops</w:t>
            </w:r>
          </w:p>
        </w:tc>
        <w:tc>
          <w:tcPr/>
          <w:p>
            <w:pPr>
              <w:pStyle w:val="Compact"/>
              <w:jc w:val="left"/>
            </w:pPr>
            <w:r>
              <w:t xml:space="preserve">August 20 &amp; September 10, 2025</w:t>
            </w:r>
          </w:p>
        </w:tc>
        <w:tc>
          <w:tcPr/>
          <w:p>
            <w:pPr>
              <w:pStyle w:val="Compact"/>
              <w:jc w:val="left"/>
            </w:pPr>
            <w:r>
              <w:t xml:space="preserve">Workshop materials, recorded sessions</w:t>
            </w:r>
          </w:p>
        </w:tc>
      </w:tr>
    </w:tbl>
    <w:p>
      <w:pPr>
        <w:pStyle w:val="BodyText"/>
      </w:pPr>
      <w:r>
        <w:t xml:space="preserve">5. Terms &amp; Conditions</w:t>
      </w:r>
    </w:p>
    <w:p>
      <w:pPr>
        <w:pStyle w:val="BodyText"/>
      </w:pPr>
      <w:r>
        <w:rPr>
          <w:bCs/>
          <w:b/>
        </w:rPr>
        <w:t xml:space="preserve">5.1 Validity:</w:t>
      </w:r>
      <w:r>
        <w:t xml:space="preserve"> </w:t>
      </w:r>
      <w:r>
        <w:t xml:space="preserve">This Quotation Estimate is valid for thirty (30) calendar days from the date of issue. After this period, rates and availability may be subject to revision.</w:t>
      </w:r>
    </w:p>
    <w:p>
      <w:pPr>
        <w:pStyle w:val="BodyText"/>
      </w:pPr>
      <w:r>
        <w:rPr>
          <w:bCs/>
          <w:b/>
        </w:rPr>
        <w:t xml:space="preserve">5.2 Payment Terms:</w:t>
      </w:r>
      <w:r>
        <w:t xml:space="preserve"> </w:t>
      </w:r>
      <w:r>
        <w:t xml:space="preserve">A 30% deposit is due upon acceptance of this Quotation Estimate. The remaining balance is payable in two equal installments: 50% upon delivery of the Interim Analysis Report and 50% upon final regulatory submission. All payments are due within fifteen (15) business days of invoice date.</w:t>
      </w:r>
    </w:p>
    <w:p>
      <w:pPr>
        <w:pStyle w:val="BodyText"/>
      </w:pPr>
      <w:r>
        <w:rPr>
          <w:bCs/>
          <w:b/>
        </w:rPr>
        <w:t xml:space="preserve">5.3 Scope Changes:</w:t>
      </w:r>
      <w:r>
        <w:t xml:space="preserve"> </w:t>
      </w:r>
      <w:r>
        <w:t xml:space="preserve">Any modifications to the scope of work outlined in this Quotation Estimate will be documented in a written change order, signed by both parties, with corresponding adjustments to the timeline and total cost.</w:t>
      </w:r>
    </w:p>
    <w:p>
      <w:pPr>
        <w:pStyle w:val="BodyText"/>
      </w:pPr>
      <w:r>
        <w:rPr>
          <w:bCs/>
          <w:b/>
        </w:rPr>
        <w:t xml:space="preserve">5.4 Confidentiality:</w:t>
      </w:r>
      <w:r>
        <w:t xml:space="preserve"> </w:t>
      </w:r>
      <w:r>
        <w:t xml:space="preserve">The Statistician agrees to maintain strict confidentiality of all proprietary data, trial information, and business strategies in accordance with the Canada Personal Information Protection and Electronic Documents Act (PIPEDA) and applicable British Columbia privacy legislation.</w:t>
      </w:r>
    </w:p>
    <w:p>
      <w:pPr>
        <w:pStyle w:val="BodyText"/>
      </w:pPr>
      <w:r>
        <w:rPr>
          <w:bCs/>
          <w:b/>
        </w:rPr>
        <w:t xml:space="preserve">5.5 Intellectual Property:</w:t>
      </w:r>
      <w:r>
        <w:t xml:space="preserve"> </w:t>
      </w:r>
      <w:r>
        <w:t xml:space="preserve">All statistical code, models, reports, and analyses produced under this engagement shall become the property of Pacific Northwest Biotech Inc. upon full payment. The Statistician retains the right to reference the engagement in professional portfolios with client anonymization.</w:t>
      </w:r>
    </w:p>
    <w:p>
      <w:pPr>
        <w:pStyle w:val="BodyText"/>
      </w:pPr>
      <w:r>
        <w:rPr>
          <w:bCs/>
          <w:b/>
        </w:rPr>
        <w:t xml:space="preserve">5.6 Governing Law:</w:t>
      </w:r>
      <w:r>
        <w:t xml:space="preserve"> </w:t>
      </w:r>
      <w:r>
        <w:t xml:space="preserve">This Quotation Estimate and any resulting contract shall be governed by the laws of the Province of British Columbia and the federal laws of Canada applicable therein. Any disputes shall be resolved through mediation in Vancouver, Canada before proceeding to litigation.</w:t>
      </w:r>
    </w:p>
    <w:p>
      <w:pPr>
        <w:pStyle w:val="BodyText"/>
      </w:pPr>
      <w:r>
        <w:rPr>
          <w:bCs/>
          <w:b/>
        </w:rPr>
        <w:t xml:space="preserve">5.7 Cancellation:</w:t>
      </w:r>
      <w:r>
        <w:t xml:space="preserve"> </w:t>
      </w:r>
      <w:r>
        <w:t xml:space="preserve">Either party may cancel the engagement with thirty (30) days written notice. In the event of cancellation by the client, fees for work completed up to the cancellation date shall remain payable.</w:t>
      </w:r>
    </w:p>
    <w:p>
      <w:pPr>
        <w:pStyle w:val="BodyText"/>
      </w:pPr>
      <w:r>
        <w:t xml:space="preserve">6. Acceptance</w:t>
      </w:r>
    </w:p>
    <w:p>
      <w:pPr>
        <w:pStyle w:val="BodyText"/>
      </w:pPr>
      <w:r>
        <w:t xml:space="preserve">By signing below, the client acknowledges receipt of this Quotation Estimate for Statistician services in Canada Vancouver and agrees to the terms, conditions, and pricing outlined herein. This signature constitutes a binding agreement for the services described.</w:t>
      </w:r>
    </w:p>
    <w:p>
      <w:pPr>
        <w:pStyle w:val="BodyText"/>
      </w:pPr>
      <w:r>
        <w:rPr>
          <w:bCs/>
          <w:b/>
        </w:rPr>
        <w:t xml:space="preserve">Dr. Eleanor Whitfield, PhD</w:t>
      </w:r>
      <w:r>
        <w:br/>
      </w:r>
      <w:r>
        <w:t xml:space="preserve">Lead Statistician, Whitfield Statistical Consulting Ltd.</w:t>
      </w:r>
      <w:r>
        <w:br/>
      </w:r>
      <w:r>
        <w:t xml:space="preserve">Date: ______________________</w:t>
      </w:r>
    </w:p>
    <w:p>
      <w:pPr>
        <w:pStyle w:val="BodyText"/>
      </w:pPr>
      <w:r>
        <w:rPr>
          <w:bCs/>
          <w:b/>
        </w:rPr>
        <w:t xml:space="preserve">Mr. David Chen</w:t>
      </w:r>
      <w:r>
        <w:br/>
      </w:r>
      <w:r>
        <w:t xml:space="preserve">Director of Research &amp; Analytics, Pacific Northwest Biotech Inc.</w:t>
      </w:r>
      <w:r>
        <w:br/>
      </w:r>
      <w:r>
        <w:t xml:space="preserve">Date: ______________________</w:t>
      </w:r>
    </w:p>
    <w:p>
      <w:pPr>
        <w:pStyle w:val="BodyText"/>
      </w:pPr>
      <w:r>
        <w:t xml:space="preserve">Whitfield Statistical Consulting Ltd. | 1200 West Georgia Street, Suite 450, Vancouver, BC, Canada V6E 1Y2</w:t>
      </w:r>
    </w:p>
    <w:p>
      <w:pPr>
        <w:pStyle w:val="BodyText"/>
      </w:pPr>
      <w:r>
        <w:t xml:space="preserve">Business Number: 12345 6789 RT0001 | This Quotation Estimate is a confidential document intended solely for the named recipient.</w:t>
      </w:r>
    </w:p>
    <w:p>
      <w:pPr>
        <w:pStyle w:val="BodyText"/>
      </w:pPr>
      <w:r>
        <w:t xml:space="preserve">© 2025 Whitfield Statistical Consulting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Canada Vancouver</dc:title>
  <dc:creator/>
  <dc:language>en</dc:language>
  <cp:keywords/>
  <dcterms:created xsi:type="dcterms:W3CDTF">2026-10-10T05:06:26Z</dcterms:created>
  <dcterms:modified xsi:type="dcterms:W3CDTF">2026-10-10T05:06:26Z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