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t xml:space="preserve">Professional Statistician Services — Egypt Alexandria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QTE-EGY-ALX-2025-0472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Egyptian Pound (EGP) / US Dollar (USD)</w:t>
            </w:r>
          </w:p>
        </w:tc>
      </w:tr>
      <w:tr>
        <w:tc>
          <w:tcPr/>
          <w:p>
            <w:pPr>
              <w:pStyle w:val="Compact"/>
              <w:jc w:val="left"/>
            </w:pPr>
            <w:r>
              <w:t xml:space="preserve">Service Location</w:t>
            </w:r>
          </w:p>
        </w:tc>
        <w:tc>
          <w:tcPr>
            <w:gridSpan w:val="3"/>
          </w:tcPr>
          <w:p>
            <w:pPr>
              <w:pStyle w:val="Compact"/>
              <w:jc w:val="left"/>
            </w:pPr>
            <w:r>
              <w:t xml:space="preserve">Egypt Alexandria — All districts including Montazah, Smouha, Rashid, and the Central Business District</w:t>
            </w:r>
          </w:p>
        </w:tc>
      </w:tr>
      <w:tr>
        <w:tc>
          <w:tcPr/>
          <w:p>
            <w:pPr>
              <w:pStyle w:val="Compact"/>
              <w:jc w:val="left"/>
            </w:pPr>
            <w:r>
              <w:t xml:space="preserve">Prepared By</w:t>
            </w:r>
          </w:p>
        </w:tc>
        <w:tc>
          <w:tcPr/>
          <w:p>
            <w:pPr>
              <w:pStyle w:val="Compact"/>
              <w:jc w:val="left"/>
            </w:pPr>
            <w:r>
              <w:t xml:space="preserve">Alexandria Statistical Consulting Bureau</w:t>
            </w:r>
          </w:p>
        </w:tc>
        <w:tc>
          <w:tcPr/>
          <w:p>
            <w:pPr>
              <w:pStyle w:val="Compact"/>
              <w:jc w:val="left"/>
            </w:pPr>
            <w:r>
              <w:t xml:space="preserve">Contact</w:t>
            </w:r>
          </w:p>
        </w:tc>
        <w:tc>
          <w:tcPr/>
          <w:p>
            <w:pPr>
              <w:pStyle w:val="Compact"/>
              <w:jc w:val="left"/>
            </w:pPr>
            <w:r>
              <w:t xml:space="preserve">info@alexstat-egypt.com | +20 3 555 0142</w:t>
            </w:r>
          </w:p>
        </w:tc>
      </w:tr>
    </w:tbl>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Client Name</w:t>
            </w:r>
          </w:p>
        </w:tc>
        <w:tc>
          <w:tcPr/>
          <w:p>
            <w:pPr>
              <w:pStyle w:val="Compact"/>
              <w:jc w:val="left"/>
            </w:pPr>
            <w:r>
              <w:t xml:space="preserve">____________________________</w:t>
            </w:r>
          </w:p>
        </w:tc>
        <w:tc>
          <w:tcPr/>
          <w:p>
            <w:pPr>
              <w:pStyle w:val="Compact"/>
              <w:jc w:val="left"/>
            </w:pPr>
            <w:r>
              <w:t xml:space="preserve">Client ID</w:t>
            </w:r>
          </w:p>
        </w:tc>
        <w:tc>
          <w:tcPr/>
          <w:p>
            <w:pPr>
              <w:pStyle w:val="Compact"/>
              <w:jc w:val="left"/>
            </w:pPr>
            <w:r>
              <w:t xml:space="preserve">________________</w:t>
            </w:r>
          </w:p>
        </w:tc>
      </w:tr>
      <w:tr>
        <w:tc>
          <w:tcPr/>
          <w:p>
            <w:pPr>
              <w:pStyle w:val="Compact"/>
              <w:jc w:val="left"/>
            </w:pPr>
            <w:r>
              <w:t xml:space="preserve">Address</w:t>
            </w:r>
          </w:p>
        </w:tc>
        <w:tc>
          <w:tcPr>
            <w:gridSpan w:val="3"/>
          </w:tcPr>
          <w:p>
            <w:pPr>
              <w:pStyle w:val="Compact"/>
              <w:jc w:val="left"/>
            </w:pPr>
            <w:r>
              <w:t xml:space="preserve">____________________________, Egypt Alexandria, Egypt</w:t>
            </w:r>
          </w:p>
        </w:tc>
      </w:tr>
      <w:tr>
        <w:tc>
          <w:tcPr/>
          <w:p>
            <w:pPr>
              <w:pStyle w:val="Compact"/>
              <w:jc w:val="left"/>
            </w:pPr>
            <w:r>
              <w:t xml:space="preserve">Project Reference</w:t>
            </w:r>
          </w:p>
        </w:tc>
        <w:tc>
          <w:tcPr>
            <w:gridSpan w:val="3"/>
          </w:tcPr>
          <w:p>
            <w:pPr>
              <w:pStyle w:val="Compact"/>
              <w:jc w:val="left"/>
            </w:pPr>
            <w:r>
              <w:t xml:space="preserve">Statistical Analysis &amp; Data Consulting Engagement — Egypt Alexandria Region</w:t>
            </w:r>
          </w:p>
        </w:tc>
      </w:tr>
    </w:tbl>
    <w:bookmarkEnd w:id="21"/>
    <w:bookmarkStart w:id="22" w:name="scope-of-statistician-services"/>
    <w:p>
      <w:pPr>
        <w:pStyle w:val="Heading2"/>
      </w:pPr>
      <w:r>
        <w:t xml:space="preserve">2. Scope of Statistician Services</w:t>
      </w:r>
    </w:p>
    <w:p>
      <w:pPr>
        <w:pStyle w:val="FirstParagraph"/>
      </w:pPr>
      <w:r>
        <w:t xml:space="preserve">This</w:t>
      </w:r>
      <w:r>
        <w:t xml:space="preserve"> </w:t>
      </w:r>
      <w:r>
        <w:t xml:space="preserve">Quotation Estimate</w:t>
      </w:r>
      <w:r>
        <w:t xml:space="preserve"> </w:t>
      </w:r>
      <w:r>
        <w:t xml:space="preserve">is issued by Alexandria Statistical Consulting Bureau to provide a comprehensive and transparent cost breakdown for the engagement of a qualified</w:t>
      </w:r>
      <w:r>
        <w:t xml:space="preserve"> </w:t>
      </w:r>
      <w:r>
        <w:t xml:space="preserve">Statistician</w:t>
      </w:r>
      <w:r>
        <w:t xml:space="preserve"> </w:t>
      </w:r>
      <w:r>
        <w:t xml:space="preserve">to deliver professional statistical services within the</w:t>
      </w:r>
      <w:r>
        <w:t xml:space="preserve"> </w:t>
      </w:r>
      <w:r>
        <w:t xml:space="preserve">Egypt Alexandria</w:t>
      </w:r>
      <w:r>
        <w:t xml:space="preserve"> </w:t>
      </w:r>
      <w:r>
        <w:t xml:space="preserve">metropolitan area. The Statistician will be deployed to conduct data collection, statistical modeling, hypothesis testing, regression analysis, and predictive analytics tailored to the client's operational needs in Egypt Alexandria. All services described in this Quotation Estimate are subject to the terms and conditions outlined in Section 6 below.</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Statistician Service Description</w:t>
            </w:r>
          </w:p>
        </w:tc>
        <w:tc>
          <w:tcPr/>
          <w:p>
            <w:pPr>
              <w:pStyle w:val="Compact"/>
              <w:jc w:val="left"/>
            </w:pPr>
            <w:r>
              <w:t xml:space="preserve">Duration</w:t>
            </w:r>
          </w:p>
        </w:tc>
        <w:tc>
          <w:tcPr/>
          <w:p>
            <w:pPr>
              <w:pStyle w:val="Compact"/>
              <w:jc w:val="left"/>
            </w:pPr>
            <w:r>
              <w:t xml:space="preserve">Unit Rate (EGP)</w:t>
            </w:r>
          </w:p>
        </w:tc>
        <w:tc>
          <w:tcPr/>
          <w:p>
            <w:pPr>
              <w:pStyle w:val="Compact"/>
              <w:jc w:val="left"/>
            </w:pPr>
            <w:r>
              <w:t xml:space="preserve">Quantity</w:t>
            </w:r>
          </w:p>
        </w:tc>
        <w:tc>
          <w:tcPr/>
          <w:p>
            <w:pPr>
              <w:pStyle w:val="Compact"/>
              <w:jc w:val="left"/>
            </w:pPr>
            <w:r>
              <w:t xml:space="preserve">Subtotal (EGP)</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On-site Statistician consultation and data audit at client premises in Egypt Alexandria</w:t>
            </w:r>
          </w:p>
        </w:tc>
        <w:tc>
          <w:tcPr/>
          <w:p>
            <w:pPr>
              <w:pStyle w:val="Compact"/>
              <w:jc w:val="left"/>
            </w:pPr>
            <w:r>
              <w:t xml:space="preserve">Per day</w:t>
            </w:r>
          </w:p>
        </w:tc>
        <w:tc>
          <w:tcPr/>
          <w:p>
            <w:pPr>
              <w:pStyle w:val="Compact"/>
              <w:jc w:val="left"/>
            </w:pPr>
            <w:r>
              <w:t xml:space="preserve">4,500</w:t>
            </w:r>
          </w:p>
        </w:tc>
        <w:tc>
          <w:tcPr/>
          <w:p>
            <w:pPr>
              <w:pStyle w:val="Compact"/>
              <w:jc w:val="left"/>
            </w:pPr>
            <w:r>
              <w:t xml:space="preserve">10 days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2</w:t>
            </w:r>
          </w:p>
        </w:tc>
        <w:tc>
          <w:tcPr/>
          <w:p>
            <w:pPr>
              <w:pStyle w:val="Compact"/>
              <w:jc w:val="left"/>
            </w:pPr>
            <w:r>
              <w:t xml:space="preserve">Design and implementation of statistical sampling framework for Egypt Alexandria market research</w:t>
            </w:r>
          </w:p>
        </w:tc>
        <w:tc>
          <w:tcPr/>
          <w:p>
            <w:pPr>
              <w:pStyle w:val="Compact"/>
              <w:jc w:val="left"/>
            </w:pPr>
            <w:r>
              <w:t xml:space="preserve">Per project</w:t>
            </w:r>
          </w:p>
        </w:tc>
        <w:tc>
          <w:tcPr/>
          <w:p>
            <w:pPr>
              <w:pStyle w:val="Compact"/>
              <w:jc w:val="left"/>
            </w:pPr>
            <w:r>
              <w:t xml:space="preserve">18,000</w:t>
            </w:r>
          </w:p>
        </w:tc>
        <w:tc>
          <w:tcPr/>
          <w:p>
            <w:pPr>
              <w:pStyle w:val="Compact"/>
              <w:jc w:val="left"/>
            </w:pPr>
            <w:r>
              <w:t xml:space="preserve">1</w:t>
            </w:r>
          </w:p>
        </w:tc>
        <w:tc>
          <w:tcPr/>
          <w:p>
            <w:pPr>
              <w:pStyle w:val="Compact"/>
              <w:jc w:val="left"/>
            </w:pPr>
            <w:r>
              <w:t xml:space="preserve">18,000</w:t>
            </w:r>
          </w:p>
        </w:tc>
        <w:tc>
          <w:tcPr/>
          <w:p>
            <w:pPr>
              <w:pStyle w:val="Compact"/>
              <w:jc w:val="left"/>
            </w:pPr>
            <w:r>
              <w:t xml:space="preserve">$360.00</w:t>
            </w:r>
          </w:p>
        </w:tc>
      </w:tr>
      <w:tr>
        <w:tc>
          <w:tcPr/>
          <w:p>
            <w:pPr>
              <w:pStyle w:val="Compact"/>
              <w:jc w:val="left"/>
            </w:pPr>
            <w:r>
              <w:t xml:space="preserve">3</w:t>
            </w:r>
          </w:p>
        </w:tc>
        <w:tc>
          <w:tcPr/>
          <w:p>
            <w:pPr>
              <w:pStyle w:val="Compact"/>
              <w:jc w:val="left"/>
            </w:pPr>
            <w:r>
              <w:t xml:space="preserve">Advanced regression modeling and multivariate analysis performed by the Statistician</w:t>
            </w:r>
          </w:p>
        </w:tc>
        <w:tc>
          <w:tcPr/>
          <w:p>
            <w:pPr>
              <w:pStyle w:val="Compact"/>
              <w:jc w:val="left"/>
            </w:pPr>
            <w:r>
              <w:t xml:space="preserve">Per module</w:t>
            </w:r>
          </w:p>
        </w:tc>
        <w:tc>
          <w:tcPr/>
          <w:p>
            <w:pPr>
              <w:pStyle w:val="Compact"/>
              <w:jc w:val="left"/>
            </w:pPr>
            <w:r>
              <w:t xml:space="preserve">12,500</w:t>
            </w:r>
          </w:p>
        </w:tc>
        <w:tc>
          <w:tcPr/>
          <w:p>
            <w:pPr>
              <w:pStyle w:val="Compact"/>
              <w:jc w:val="left"/>
            </w:pPr>
            <w:r>
              <w:t xml:space="preserve">3 modules</w:t>
            </w:r>
          </w:p>
        </w:tc>
        <w:tc>
          <w:tcPr/>
          <w:p>
            <w:pPr>
              <w:pStyle w:val="Compact"/>
              <w:jc w:val="left"/>
            </w:pPr>
            <w:r>
              <w:t xml:space="preserve">37,500</w:t>
            </w:r>
          </w:p>
        </w:tc>
        <w:tc>
          <w:tcPr/>
          <w:p>
            <w:pPr>
              <w:pStyle w:val="Compact"/>
              <w:jc w:val="left"/>
            </w:pPr>
            <w:r>
              <w:t xml:space="preserve">$750.00</w:t>
            </w:r>
          </w:p>
        </w:tc>
      </w:tr>
      <w:tr>
        <w:tc>
          <w:tcPr/>
          <w:p>
            <w:pPr>
              <w:pStyle w:val="Compact"/>
              <w:jc w:val="left"/>
            </w:pPr>
            <w:r>
              <w:t xml:space="preserve">4</w:t>
            </w:r>
          </w:p>
        </w:tc>
        <w:tc>
          <w:tcPr/>
          <w:p>
            <w:pPr>
              <w:pStyle w:val="Compact"/>
              <w:jc w:val="left"/>
            </w:pPr>
            <w:r>
              <w:t xml:space="preserve">Statistical process control (SPC) setup and quality assurance reporting for Egypt Alexandria manufacturing operations</w:t>
            </w:r>
          </w:p>
        </w:tc>
        <w:tc>
          <w:tcPr/>
          <w:p>
            <w:pPr>
              <w:pStyle w:val="Compact"/>
              <w:jc w:val="left"/>
            </w:pPr>
            <w:r>
              <w:t xml:space="preserve">Per month</w:t>
            </w:r>
          </w:p>
        </w:tc>
        <w:tc>
          <w:tcPr/>
          <w:p>
            <w:pPr>
              <w:pStyle w:val="Compact"/>
              <w:jc w:val="left"/>
            </w:pPr>
            <w:r>
              <w:t xml:space="preserve">22,000</w:t>
            </w:r>
          </w:p>
        </w:tc>
        <w:tc>
          <w:tcPr/>
          <w:p>
            <w:pPr>
              <w:pStyle w:val="Compact"/>
              <w:jc w:val="left"/>
            </w:pPr>
            <w:r>
              <w:t xml:space="preserve">6 months</w:t>
            </w:r>
          </w:p>
        </w:tc>
        <w:tc>
          <w:tcPr/>
          <w:p>
            <w:pPr>
              <w:pStyle w:val="Compact"/>
              <w:jc w:val="left"/>
            </w:pPr>
            <w:r>
              <w:t xml:space="preserve">132,000</w:t>
            </w:r>
          </w:p>
        </w:tc>
        <w:tc>
          <w:tcPr/>
          <w:p>
            <w:pPr>
              <w:pStyle w:val="Compact"/>
              <w:jc w:val="left"/>
            </w:pPr>
            <w:r>
              <w:t xml:space="preserve">$2,640.00</w:t>
            </w:r>
          </w:p>
        </w:tc>
      </w:tr>
      <w:tr>
        <w:tc>
          <w:tcPr/>
          <w:p>
            <w:pPr>
              <w:pStyle w:val="Compact"/>
              <w:jc w:val="left"/>
            </w:pPr>
            <w:r>
              <w:t xml:space="preserve">5</w:t>
            </w:r>
          </w:p>
        </w:tc>
        <w:tc>
          <w:tcPr/>
          <w:p>
            <w:pPr>
              <w:pStyle w:val="Compact"/>
              <w:jc w:val="left"/>
            </w:pPr>
            <w:r>
              <w:t xml:space="preserve">Preparation of final statistical report, executive summary, and data visualization dashboard</w:t>
            </w:r>
          </w:p>
        </w:tc>
        <w:tc>
          <w:tcPr/>
          <w:p>
            <w:pPr>
              <w:pStyle w:val="Compact"/>
              <w:jc w:val="left"/>
            </w:pPr>
            <w:r>
              <w:t xml:space="preserve">Per deliverable</w:t>
            </w:r>
          </w:p>
        </w:tc>
        <w:tc>
          <w:tcPr/>
          <w:p>
            <w:pPr>
              <w:pStyle w:val="Compact"/>
              <w:jc w:val="left"/>
            </w:pPr>
            <w:r>
              <w:t xml:space="preserve">9,500</w:t>
            </w:r>
          </w:p>
        </w:tc>
        <w:tc>
          <w:tcPr/>
          <w:p>
            <w:pPr>
              <w:pStyle w:val="Compact"/>
              <w:jc w:val="left"/>
            </w:pPr>
            <w:r>
              <w:t xml:space="preserve">2</w:t>
            </w:r>
          </w:p>
        </w:tc>
        <w:tc>
          <w:tcPr/>
          <w:p>
            <w:pPr>
              <w:pStyle w:val="Compact"/>
              <w:jc w:val="left"/>
            </w:pPr>
            <w:r>
              <w:t xml:space="preserve">19,000</w:t>
            </w:r>
          </w:p>
        </w:tc>
        <w:tc>
          <w:tcPr/>
          <w:p>
            <w:pPr>
              <w:pStyle w:val="Compact"/>
              <w:jc w:val="left"/>
            </w:pPr>
            <w:r>
              <w:t xml:space="preserve">$380.00</w:t>
            </w:r>
          </w:p>
        </w:tc>
      </w:tr>
      <w:tr>
        <w:tc>
          <w:tcPr/>
          <w:p>
            <w:pPr>
              <w:pStyle w:val="Compact"/>
              <w:jc w:val="left"/>
            </w:pPr>
            <w:r>
              <w:t xml:space="preserve">6</w:t>
            </w:r>
          </w:p>
        </w:tc>
        <w:tc>
          <w:tcPr/>
          <w:p>
            <w:pPr>
              <w:pStyle w:val="Compact"/>
              <w:jc w:val="left"/>
            </w:pPr>
            <w:r>
              <w:t xml:space="preserve">Travel and logistics within Egypt Alexandria (Montazah, Smouha, Rashid, Downtown)</w:t>
            </w:r>
          </w:p>
        </w:tc>
        <w:tc>
          <w:tcPr/>
          <w:p>
            <w:pPr>
              <w:pStyle w:val="Compact"/>
              <w:jc w:val="left"/>
            </w:pPr>
            <w:r>
              <w:t xml:space="preserve">Per month</w:t>
            </w:r>
          </w:p>
        </w:tc>
        <w:tc>
          <w:tcPr/>
          <w:p>
            <w:pPr>
              <w:pStyle w:val="Compact"/>
              <w:jc w:val="left"/>
            </w:pPr>
            <w:r>
              <w:t xml:space="preserve">3,200</w:t>
            </w:r>
          </w:p>
        </w:tc>
        <w:tc>
          <w:tcPr/>
          <w:p>
            <w:pPr>
              <w:pStyle w:val="Compact"/>
              <w:jc w:val="left"/>
            </w:pPr>
            <w:r>
              <w:t xml:space="preserve">6 months</w:t>
            </w:r>
          </w:p>
        </w:tc>
        <w:tc>
          <w:tcPr/>
          <w:p>
            <w:pPr>
              <w:pStyle w:val="Compact"/>
              <w:jc w:val="left"/>
            </w:pPr>
            <w:r>
              <w:t xml:space="preserve">19,200</w:t>
            </w:r>
          </w:p>
        </w:tc>
        <w:tc>
          <w:tcPr/>
          <w:p>
            <w:pPr>
              <w:pStyle w:val="Compact"/>
              <w:jc w:val="left"/>
            </w:pPr>
            <w:r>
              <w:t xml:space="preserve">$384.00</w:t>
            </w:r>
          </w:p>
        </w:tc>
      </w:tr>
      <w:tr>
        <w:tc>
          <w:tcPr/>
          <w:p>
            <w:pPr>
              <w:pStyle w:val="Compact"/>
              <w:jc w:val="left"/>
            </w:pPr>
            <w:r>
              <w:t xml:space="preserve">7</w:t>
            </w:r>
          </w:p>
        </w:tc>
        <w:tc>
          <w:tcPr/>
          <w:p>
            <w:pPr>
              <w:pStyle w:val="Compact"/>
              <w:jc w:val="left"/>
            </w:pPr>
            <w:r>
              <w:t xml:space="preserve">Software licensing (SPSS, R, Python statistical packages) for the Statistician's toolkit</w:t>
            </w:r>
          </w:p>
        </w:tc>
        <w:tc>
          <w:tcPr/>
          <w:p>
            <w:pPr>
              <w:pStyle w:val="Compact"/>
              <w:jc w:val="left"/>
            </w:pPr>
            <w:r>
              <w:t xml:space="preserve">Per year</w:t>
            </w:r>
          </w:p>
        </w:tc>
        <w:tc>
          <w:tcPr/>
          <w:p>
            <w:pPr>
              <w:pStyle w:val="Compact"/>
              <w:jc w:val="left"/>
            </w:pPr>
            <w:r>
              <w:t xml:space="preserve">15,000</w:t>
            </w:r>
          </w:p>
        </w:tc>
        <w:tc>
          <w:tcPr/>
          <w:p>
            <w:pPr>
              <w:pStyle w:val="Compact"/>
              <w:jc w:val="left"/>
            </w:pPr>
            <w:r>
              <w:t xml:space="preserve">1</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8</w:t>
            </w:r>
          </w:p>
        </w:tc>
        <w:tc>
          <w:tcPr/>
          <w:p>
            <w:pPr>
              <w:pStyle w:val="Compact"/>
              <w:jc w:val="left"/>
            </w:pPr>
            <w:r>
              <w:t xml:space="preserve">Post-engagement support and Statistician availability for Q&amp;A sessions in Egypt Alexandria</w:t>
            </w:r>
          </w:p>
        </w:tc>
        <w:tc>
          <w:tcPr/>
          <w:p>
            <w:pPr>
              <w:pStyle w:val="Compact"/>
              <w:jc w:val="left"/>
            </w:pPr>
            <w:r>
              <w:t xml:space="preserve">Per hour</w:t>
            </w:r>
          </w:p>
        </w:tc>
        <w:tc>
          <w:tcPr/>
          <w:p>
            <w:pPr>
              <w:pStyle w:val="Compact"/>
              <w:jc w:val="left"/>
            </w:pPr>
            <w:r>
              <w:t xml:space="preserve">800</w:t>
            </w:r>
          </w:p>
        </w:tc>
        <w:tc>
          <w:tcPr/>
          <w:p>
            <w:pPr>
              <w:pStyle w:val="Compact"/>
              <w:jc w:val="left"/>
            </w:pPr>
            <w:r>
              <w:t xml:space="preserve">20 hours</w:t>
            </w:r>
          </w:p>
        </w:tc>
        <w:tc>
          <w:tcPr/>
          <w:p>
            <w:pPr>
              <w:pStyle w:val="Compact"/>
              <w:jc w:val="left"/>
            </w:pPr>
            <w:r>
              <w:t xml:space="preserve">16,000</w:t>
            </w:r>
          </w:p>
        </w:tc>
        <w:tc>
          <w:tcPr/>
          <w:p>
            <w:pPr>
              <w:pStyle w:val="Compact"/>
              <w:jc w:val="left"/>
            </w:pPr>
            <w:r>
              <w:t xml:space="preserve">$320.00</w:t>
            </w:r>
          </w:p>
        </w:tc>
      </w:tr>
      <w:tr>
        <w:tc>
          <w:tcPr>
            <w:gridSpan w:val="5"/>
          </w:tcPr>
          <w:p>
            <w:pPr>
              <w:pStyle w:val="Compact"/>
              <w:jc w:val="left"/>
            </w:pPr>
            <w:r>
              <w:t xml:space="preserve">TOTAL ESTIMATED COST (Before VAT)</w:t>
            </w:r>
          </w:p>
        </w:tc>
        <w:tc>
          <w:tcPr/>
          <w:p>
            <w:pPr>
              <w:pStyle w:val="Compact"/>
              <w:jc w:val="left"/>
            </w:pPr>
            <w:r>
              <w:t xml:space="preserve">301,700 EGP</w:t>
            </w:r>
          </w:p>
        </w:tc>
        <w:tc>
          <w:tcPr/>
          <w:p>
            <w:pPr>
              <w:pStyle w:val="Compact"/>
              <w:jc w:val="left"/>
            </w:pPr>
            <w:r>
              <w:t xml:space="preserve">$6,034.00 USD</w:t>
            </w:r>
          </w:p>
        </w:tc>
      </w:tr>
      <w:tr>
        <w:tc>
          <w:tcPr>
            <w:gridSpan w:val="5"/>
          </w:tcPr>
          <w:p>
            <w:pPr>
              <w:pStyle w:val="Compact"/>
              <w:jc w:val="left"/>
            </w:pPr>
            <w:r>
              <w:t xml:space="preserve">VAT (14% — Egyptian Tax Authority)</w:t>
            </w:r>
          </w:p>
        </w:tc>
        <w:tc>
          <w:tcPr/>
          <w:p>
            <w:pPr>
              <w:pStyle w:val="Compact"/>
              <w:jc w:val="left"/>
            </w:pPr>
            <w:r>
              <w:t xml:space="preserve">42,238 EGP</w:t>
            </w:r>
          </w:p>
        </w:tc>
        <w:tc>
          <w:tcPr/>
          <w:p>
            <w:pPr>
              <w:pStyle w:val="Compact"/>
              <w:jc w:val="left"/>
            </w:pPr>
            <w:r>
              <w:t xml:space="preserve">$844.76 USD</w:t>
            </w:r>
          </w:p>
        </w:tc>
      </w:tr>
      <w:tr>
        <w:tc>
          <w:tcPr>
            <w:gridSpan w:val="5"/>
          </w:tcPr>
          <w:p>
            <w:pPr>
              <w:pStyle w:val="Compact"/>
              <w:jc w:val="left"/>
            </w:pPr>
            <w:r>
              <w:t xml:space="preserve">GRAND TOTAL (Incl. VAT)</w:t>
            </w:r>
          </w:p>
        </w:tc>
        <w:tc>
          <w:tcPr/>
          <w:p>
            <w:pPr>
              <w:pStyle w:val="Compact"/>
              <w:jc w:val="left"/>
            </w:pPr>
            <w:r>
              <w:t xml:space="preserve">343,938 EGP</w:t>
            </w:r>
          </w:p>
        </w:tc>
        <w:tc>
          <w:tcPr/>
          <w:p>
            <w:pPr>
              <w:pStyle w:val="Compact"/>
              <w:jc w:val="left"/>
            </w:pPr>
            <w:r>
              <w:t xml:space="preserve">$6,878.76 USD</w:t>
            </w:r>
          </w:p>
        </w:tc>
      </w:tr>
    </w:tbl>
    <w:p>
      <w:pPr>
        <w:pStyle w:val="BodyText"/>
      </w:pPr>
      <w:r>
        <w:rPr>
          <w:bCs/>
          <w:b/>
        </w:rPr>
        <w:t xml:space="preserve">Note:</w:t>
      </w:r>
      <w:r>
        <w:t xml:space="preserve"> </w:t>
      </w:r>
      <w:r>
        <w:t xml:space="preserve">This Quotation Estimate assumes standard business hours (Saturday through Thursday, 9:00 AM – 5:00 PM) in Egypt Alexandria. Any Statistician work performed outside these hours or on Egyptian public holidays will be billed at 1.5× the standard hourly rate. Exchange rate used: 1 USD = 50.00 EGP (as of the date of this Quotation Estimate).</w:t>
      </w:r>
    </w:p>
    <w:bookmarkEnd w:id="23"/>
    <w:bookmarkStart w:id="24" w:name="statistician-qualifications-deployment"/>
    <w:p>
      <w:pPr>
        <w:pStyle w:val="Heading2"/>
      </w:pPr>
      <w:r>
        <w:t xml:space="preserve">4. Statistician Qualifications &amp; Deployment</w:t>
      </w:r>
    </w:p>
    <w:p>
      <w:pPr>
        <w:pStyle w:val="FirstParagraph"/>
      </w:pPr>
      <w:r>
        <w:t xml:space="preserve">The Statistician assigned to this engagement in Egypt Alexandria shall hold a minimum of a Master's degree in Statistics, Applied Mathematics, or a closely related quantitative discipline from an accredited Egyptian or internationally recognized university. The Statistician must possess a minimum of five (5) years of professional experience in statistical consulting, data science, or quantitative research. The Statistician will be based in Egypt Alexandria for the full duration of the engagement and will report directly to the client's project manager. All deliverables produced by the Statistician will conform to international statistical reporting standards (ISO 8000 for data quality) and applicable Egyptian regulatory requirements.</w:t>
      </w:r>
    </w:p>
    <w:bookmarkEnd w:id="24"/>
    <w:bookmarkStart w:id="25" w:name="payment-terms"/>
    <w:p>
      <w:pPr>
        <w:pStyle w:val="Heading2"/>
      </w:pPr>
      <w:r>
        <w:t xml:space="preserve">5. Payment Terms</w:t>
      </w:r>
    </w:p>
    <w:p>
      <w:pPr>
        <w:numPr>
          <w:ilvl w:val="0"/>
          <w:numId w:val="1001"/>
        </w:numPr>
        <w:pStyle w:val="Compact"/>
      </w:pPr>
      <w:r>
        <w:rPr>
          <w:bCs/>
          <w:b/>
        </w:rPr>
        <w:t xml:space="preserve">Advance Payment:</w:t>
      </w:r>
      <w:r>
        <w:t xml:space="preserve"> </w:t>
      </w:r>
      <w:r>
        <w:t xml:space="preserve">30% of the total Quotation Estimate value (103,181.40 EGP) due within seven (7) business days of acceptance of this Quotation Estimate.</w:t>
      </w:r>
    </w:p>
    <w:p>
      <w:pPr>
        <w:numPr>
          <w:ilvl w:val="0"/>
          <w:numId w:val="1001"/>
        </w:numPr>
        <w:pStyle w:val="Compact"/>
      </w:pPr>
      <w:r>
        <w:rPr>
          <w:bCs/>
          <w:b/>
        </w:rPr>
        <w:t xml:space="preserve">Progress Payments:</w:t>
      </w:r>
      <w:r>
        <w:t xml:space="preserve"> </w:t>
      </w:r>
      <w:r>
        <w:t xml:space="preserve">50% of the total (171,969.00 EGP) payable in equal monthly installments over the six-month engagement period, due on the 5th of each month.</w:t>
      </w:r>
    </w:p>
    <w:p>
      <w:pPr>
        <w:numPr>
          <w:ilvl w:val="0"/>
          <w:numId w:val="1001"/>
        </w:numPr>
        <w:pStyle w:val="Compact"/>
      </w:pPr>
      <w:r>
        <w:rPr>
          <w:bCs/>
          <w:b/>
        </w:rPr>
        <w:t xml:space="preserve">Final Payment:</w:t>
      </w:r>
      <w:r>
        <w:t xml:space="preserve"> </w:t>
      </w:r>
      <w:r>
        <w:t xml:space="preserve">The remaining 20% (68,787.60 EGP) due within fourteen (14) days of final deliverable acceptance by the client in Egypt Alexandria.</w:t>
      </w:r>
    </w:p>
    <w:p>
      <w:pPr>
        <w:numPr>
          <w:ilvl w:val="0"/>
          <w:numId w:val="1001"/>
        </w:numPr>
        <w:pStyle w:val="Compact"/>
      </w:pPr>
      <w:r>
        <w:rPr>
          <w:bCs/>
          <w:b/>
        </w:rPr>
        <w:t xml:space="preserve">Payment Method:</w:t>
      </w:r>
      <w:r>
        <w:t xml:space="preserve"> </w:t>
      </w:r>
      <w:r>
        <w:t xml:space="preserve">Bank transfer to Alexandria Statistical Consulting Bureau, National Bank of Egypt, Alexandria Branch. IBAN: EG______ (to be provided upon contract execution).</w:t>
      </w:r>
    </w:p>
    <w:p>
      <w:pPr>
        <w:numPr>
          <w:ilvl w:val="0"/>
          <w:numId w:val="1001"/>
        </w:numPr>
        <w:pStyle w:val="Compact"/>
      </w:pPr>
      <w:r>
        <w:rPr>
          <w:bCs/>
          <w:b/>
        </w:rPr>
        <w:t xml:space="preserve">Late Payment:</w:t>
      </w:r>
      <w:r>
        <w:t xml:space="preserve"> </w:t>
      </w:r>
      <w:r>
        <w:t xml:space="preserve">A penalty of 1.5% per month will be applied to any overdue amounts as per Egyptian commercial law.</w:t>
      </w:r>
    </w:p>
    <w:bookmarkEnd w:id="25"/>
    <w:bookmarkStart w:id="26" w:name="terms-and-conditions"/>
    <w:p>
      <w:pPr>
        <w:pStyle w:val="Heading2"/>
      </w:pPr>
      <w:r>
        <w:t xml:space="preserve">6. Terms and Conditions</w:t>
      </w:r>
    </w:p>
    <w:p>
      <w:pPr>
        <w:numPr>
          <w:ilvl w:val="0"/>
          <w:numId w:val="1002"/>
        </w:numPr>
        <w:pStyle w:val="Compact"/>
      </w:pPr>
      <w:r>
        <w:t xml:space="preserve">This Quotation Estimate is valid for thirty (30) calendar days from the date of issue. After this period, all rates and the total Quotation Estimate value are subject to revision based on market conditions in Egypt Alexandria.</w:t>
      </w:r>
    </w:p>
    <w:p>
      <w:pPr>
        <w:numPr>
          <w:ilvl w:val="0"/>
          <w:numId w:val="1002"/>
        </w:numPr>
        <w:pStyle w:val="Compact"/>
      </w:pPr>
      <w:r>
        <w:t xml:space="preserve">The Statistician's services are governed by the Egyptian Civil Code and applicable labor regulations. Any disputes arising from this Quotation Estimate shall be resolved through arbitration in Egypt Alexandria under the rules of the Egyptian Arbitration Center.</w:t>
      </w:r>
    </w:p>
    <w:p>
      <w:pPr>
        <w:numPr>
          <w:ilvl w:val="0"/>
          <w:numId w:val="1002"/>
        </w:numPr>
        <w:pStyle w:val="Compact"/>
      </w:pPr>
      <w:r>
        <w:t xml:space="preserve">All data collected, processed, and analyzed by the Statistician in Egypt Alexandria shall remain the exclusive intellectual property of the client. The Statistician shall sign a Non-Disclosure Agreement (NDA) prior to commencing work.</w:t>
      </w:r>
    </w:p>
    <w:p>
      <w:pPr>
        <w:numPr>
          <w:ilvl w:val="0"/>
          <w:numId w:val="1002"/>
        </w:numPr>
        <w:pStyle w:val="Compact"/>
      </w:pPr>
      <w:r>
        <w:t xml:space="preserve">The Statistician is not liable for decisions made by the client based on statistical outputs. This Quotation Estimate covers the provision of statistical expertise and analysis only.</w:t>
      </w:r>
    </w:p>
    <w:p>
      <w:pPr>
        <w:numPr>
          <w:ilvl w:val="0"/>
          <w:numId w:val="1002"/>
        </w:numPr>
        <w:pStyle w:val="Compact"/>
      </w:pPr>
      <w:r>
        <w:t xml:space="preserve">Force majeure events, including but not limited to natural disasters, government-mandated closures in Egypt Alexandria, or pandemics, shall suspend obligations under this Quotation Estimate without penalty to either party.</w:t>
      </w:r>
    </w:p>
    <w:p>
      <w:pPr>
        <w:numPr>
          <w:ilvl w:val="0"/>
          <w:numId w:val="1002"/>
        </w:numPr>
        <w:pStyle w:val="Compact"/>
      </w:pPr>
      <w:r>
        <w:t xml:space="preserve">Any changes to the scope of Statistician services must be documented in a formal Change Order signed by both parties before additional work commences.</w:t>
      </w:r>
    </w:p>
    <w:p>
      <w:pPr>
        <w:numPr>
          <w:ilvl w:val="0"/>
          <w:numId w:val="1002"/>
        </w:numPr>
        <w:pStyle w:val="Compact"/>
      </w:pPr>
      <w:r>
        <w:t xml:space="preserve">This Quotation Estimate does not constitute a binding contract until a formal Service Agreement is executed by both parties.</w:t>
      </w:r>
    </w:p>
    <w:bookmarkEnd w:id="26"/>
    <w:bookmarkStart w:id="27" w:name="acceptance-authorization"/>
    <w:p>
      <w:pPr>
        <w:pStyle w:val="Heading2"/>
      </w:pPr>
      <w:r>
        <w:t xml:space="preserve">7. Acceptance &amp; Authorization</w:t>
      </w:r>
    </w:p>
    <w:p>
      <w:pPr>
        <w:pStyle w:val="FirstParagraph"/>
      </w:pPr>
      <w:r>
        <w:t xml:space="preserve">By signing below, the client acknowledges receipt of this Quotation Estimate for Statistician services in Egypt Alexandria and agrees to the terms, conditions, and cost structure outlined herein. This signature authorizes Alexandria Statistical Consulting Bureau to proceed with the engagement upon receipt of the advance payment.</w:t>
      </w:r>
    </w:p>
    <w:p>
      <w:pPr>
        <w:pStyle w:val="BodyText"/>
      </w:pPr>
      <w:r>
        <w:rPr>
          <w:bCs/>
          <w:b/>
        </w:rPr>
        <w:t xml:space="preserve">For: Alexandria Statistical Consulting Bureau</w:t>
      </w:r>
    </w:p>
    <w:p>
      <w:pPr>
        <w:pStyle w:val="BodyText"/>
      </w:pPr>
      <w:r>
        <w:t xml:space="preserve">Authorized Representative</w:t>
      </w:r>
    </w:p>
    <w:p>
      <w:pPr>
        <w:pStyle w:val="BodyText"/>
      </w:pPr>
      <w:r>
        <w:t xml:space="preserve">Name / Signature / Date</w:t>
      </w:r>
    </w:p>
    <w:p>
      <w:pPr>
        <w:pStyle w:val="BodyText"/>
      </w:pPr>
      <w:r>
        <w:rPr>
          <w:bCs/>
          <w:b/>
        </w:rPr>
        <w:t xml:space="preserve">For: Client</w:t>
      </w:r>
    </w:p>
    <w:p>
      <w:pPr>
        <w:pStyle w:val="BodyText"/>
      </w:pPr>
      <w:r>
        <w:t xml:space="preserve">Authorized Representative</w:t>
      </w:r>
    </w:p>
    <w:p>
      <w:pPr>
        <w:pStyle w:val="BodyText"/>
      </w:pPr>
      <w:r>
        <w:t xml:space="preserve">Name / Signature / Date</w:t>
      </w:r>
    </w:p>
    <w:p>
      <w:pPr>
        <w:pStyle w:val="BodyText"/>
      </w:pPr>
      <w:r>
        <w:t xml:space="preserve">Alexandria Statistical Consulting Bureau — 42 Corniche El-Nil Street, Montazah, Egypt Alexandria 21543, Egypt</w:t>
      </w:r>
    </w:p>
    <w:p>
      <w:pPr>
        <w:pStyle w:val="BodyText"/>
      </w:pPr>
      <w:r>
        <w:t xml:space="preserve">Tax Registration No.: 552-881-334 | Commercial Registration: ALC-2019-07721</w:t>
      </w:r>
    </w:p>
    <w:p>
      <w:pPr>
        <w:pStyle w:val="BodyText"/>
      </w:pPr>
      <w:r>
        <w:t xml:space="preserve">This Quotation Estimate document was generated electronically and is valid without a physical stamp. © 2025 Alexandria Statistical Consulting Bureau.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Egypt Alexandria</dc:title>
  <dc:creator/>
  <dc:language>en</dc:language>
  <cp:keywords/>
  <dcterms:created xsi:type="dcterms:W3CDTF">2026-10-10T02:58:13Z</dcterms:created>
  <dcterms:modified xsi:type="dcterms:W3CDTF">2026-10-10T02:58:13Z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