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Egypt</w:t>
      </w:r>
      <w:r>
        <w:t xml:space="preserve"> </w:t>
      </w:r>
      <w:r>
        <w:t xml:space="preserve">Cairo</w:t>
      </w:r>
    </w:p>
    <w:bookmarkStart w:id="20" w:name="quotation-estimate"/>
    <w:p>
      <w:pPr>
        <w:pStyle w:val="Heading1"/>
      </w:pPr>
      <w:r>
        <w:t xml:space="preserve">Quotation Estimate</w:t>
      </w:r>
    </w:p>
    <w:p>
      <w:pPr>
        <w:pStyle w:val="FirstParagraph"/>
      </w:pPr>
      <w:r>
        <w:t xml:space="preserve">Professional Statistician Services — Egypt Cairo</w:t>
      </w:r>
    </w:p>
    <w:p>
      <w:pPr>
        <w:pStyle w:val="BodyText"/>
      </w:pPr>
      <w:r>
        <w:t xml:space="preserve">QTE-2025-CAI-0047</w:t>
      </w:r>
    </w:p>
    <w:bookmarkEnd w:id="20"/>
    <w:p>
      <w:pPr>
        <w:pStyle w:val="BodyText"/>
      </w:pPr>
      <w:r>
        <w:rPr>
          <w:bCs/>
          <w:b/>
        </w:rPr>
        <w:t xml:space="preserve">Prepared By:</w:t>
      </w:r>
      <w:r>
        <w:br/>
      </w:r>
      <w:r>
        <w:t xml:space="preserve">Dr. Ahmed Hassan El-Sayed</w:t>
      </w:r>
      <w:r>
        <w:br/>
      </w:r>
      <w:r>
        <w:t xml:space="preserve">Senior Statistician &amp; Data Analyst</w:t>
      </w:r>
      <w:r>
        <w:br/>
      </w:r>
      <w:r>
        <w:t xml:space="preserve">Cairo Statistical Consulting Group</w:t>
      </w:r>
      <w:r>
        <w:br/>
      </w:r>
      <w:r>
        <w:t xml:space="preserve">12 Tahrir Square, Downtown</w:t>
      </w:r>
      <w:r>
        <w:br/>
      </w:r>
      <w:r>
        <w:t xml:space="preserve">Cairo, Egypt 11511</w:t>
      </w:r>
      <w:r>
        <w:br/>
      </w:r>
      <w:r>
        <w:t xml:space="preserve">Tel: +20 2 2578 4432</w:t>
      </w:r>
      <w:r>
        <w:br/>
      </w:r>
      <w:r>
        <w:t xml:space="preserve">Email: a.hassan@cairostatistical.com.eg</w:t>
      </w:r>
    </w:p>
    <w:p>
      <w:pPr>
        <w:pStyle w:val="BodyText"/>
      </w:pPr>
      <w:r>
        <w:rPr>
          <w:bCs/>
          <w:b/>
        </w:rPr>
        <w:t xml:space="preserve">Prepared For:</w:t>
      </w:r>
      <w:r>
        <w:br/>
      </w:r>
      <w:r>
        <w:t xml:space="preserve">Dr. Mona Fathy Abdel-Rahman</w:t>
      </w:r>
      <w:r>
        <w:br/>
      </w:r>
      <w:r>
        <w:t xml:space="preserve">Head of Research Department</w:t>
      </w:r>
      <w:r>
        <w:br/>
      </w:r>
      <w:r>
        <w:t xml:space="preserve">Nile Valley Agricultural Research Institute</w:t>
      </w:r>
      <w:r>
        <w:br/>
      </w:r>
      <w:r>
        <w:t xml:space="preserve">45 El-Mokattam Road</w:t>
      </w:r>
      <w:r>
        <w:br/>
      </w:r>
      <w:r>
        <w:t xml:space="preserve">Cairo, Egypt 11835</w:t>
      </w:r>
      <w:r>
        <w:br/>
      </w:r>
      <w:r>
        <w:t xml:space="preserve">Tel: +20 2 2681 7790</w:t>
      </w:r>
      <w:r>
        <w:br/>
      </w:r>
      <w:r>
        <w:t xml:space="preserve">Email: m.fathy@nilevalley-research.eg</w:t>
      </w:r>
    </w:p>
    <w:p>
      <w:pPr>
        <w:pStyle w:val="BodyText"/>
      </w:pPr>
      <w:r>
        <w:rPr>
          <w:bCs/>
          <w:b/>
        </w:rPr>
        <w:t xml:space="preserve">Date of Issue:</w:t>
      </w:r>
      <w:r>
        <w:t xml:space="preserve"> </w:t>
      </w:r>
      <w:r>
        <w:t xml:space="preserve">14 June 2025</w:t>
      </w:r>
      <w:r>
        <w:br/>
      </w:r>
      <w:r>
        <w:rPr>
          <w:bCs/>
          <w:b/>
        </w:rPr>
        <w:t xml:space="preserve">Quotation Validity:</w:t>
      </w:r>
      <w:r>
        <w:t xml:space="preserve"> </w:t>
      </w:r>
      <w:r>
        <w:t xml:space="preserve">30 days from issue date</w:t>
      </w:r>
    </w:p>
    <w:p>
      <w:pPr>
        <w:pStyle w:val="BodyText"/>
      </w:pPr>
      <w:r>
        <w:rPr>
          <w:bCs/>
          <w:b/>
        </w:rPr>
        <w:t xml:space="preserve">Project Reference:</w:t>
      </w:r>
      <w:r>
        <w:t xml:space="preserve"> </w:t>
      </w:r>
      <w:r>
        <w:t xml:space="preserve">NVA-STAT-2025-019</w:t>
      </w:r>
      <w:r>
        <w:br/>
      </w:r>
      <w:r>
        <w:rPr>
          <w:bCs/>
          <w:b/>
        </w:rPr>
        <w:t xml:space="preserve">Service Location:</w:t>
      </w:r>
      <w:r>
        <w:t xml:space="preserve"> </w:t>
      </w:r>
      <w:r>
        <w:t xml:space="preserve">Egypt Cairo (On-site &amp; Remote)</w:t>
      </w:r>
    </w:p>
    <w:bookmarkStart w:id="21" w:name="purpose-of-this-quotation-estimate"/>
    <w:p>
      <w:pPr>
        <w:pStyle w:val="Heading2"/>
      </w:pPr>
      <w:r>
        <w:t xml:space="preserve">1. Purpose of This Quotation Estimate</w:t>
      </w:r>
    </w:p>
    <w:p>
      <w:pPr>
        <w:pStyle w:val="FirstParagraph"/>
      </w:pPr>
      <w:r>
        <w:t xml:space="preserve">This Quotation Estimate is issued by Cairo Statistical Consulting Group to provide a comprehensive and transparent cost breakdown for the engagement of a qualified Statistician to support the Nile Valley Agricultural Research Institute in Egypt Cairo. The scope of work outlined herein covers statistical consulting, data analysis, experimental design, and reporting services tailored to the agricultural research needs of the client. This document serves as a formal Quotation Estimate and does not constitute a binding contract until both parties execute the final service agreement.</w:t>
      </w:r>
    </w:p>
    <w:bookmarkEnd w:id="21"/>
    <w:bookmarkStart w:id="22" w:name="X4f77e89a0aee909b860b2a3b19f1249e2f3f2b6"/>
    <w:p>
      <w:pPr>
        <w:pStyle w:val="Heading2"/>
      </w:pPr>
      <w:r>
        <w:t xml:space="preserve">2. Scope of Services — Statistician Engagement</w:t>
      </w:r>
    </w:p>
    <w:p>
      <w:pPr>
        <w:pStyle w:val="FirstParagraph"/>
      </w:pPr>
      <w:r>
        <w:t xml:space="preserve">The Statistician engaged under this Quotation Estimate will deliver the following professional services within the Egypt Cairo metropolitan area and its surrounding research facilities:</w:t>
      </w:r>
    </w:p>
    <w:p>
      <w:pPr>
        <w:numPr>
          <w:ilvl w:val="0"/>
          <w:numId w:val="1001"/>
        </w:numPr>
        <w:pStyle w:val="Compact"/>
      </w:pPr>
      <w:r>
        <w:t xml:space="preserve">Design and optimization of randomized block designs and split-plot experiments for crop yield trials conducted at the institute's field stations in Giza and Cairo.</w:t>
      </w:r>
    </w:p>
    <w:p>
      <w:pPr>
        <w:numPr>
          <w:ilvl w:val="0"/>
          <w:numId w:val="1001"/>
        </w:numPr>
        <w:pStyle w:val="Compact"/>
      </w:pPr>
      <w:r>
        <w:t xml:space="preserve">Statistical analysis of multi-year longitudinal data sets using advanced mixed-effects models, ANOVA, and regression techniques.</w:t>
      </w:r>
    </w:p>
    <w:p>
      <w:pPr>
        <w:numPr>
          <w:ilvl w:val="0"/>
          <w:numId w:val="1001"/>
        </w:numPr>
        <w:pStyle w:val="Compact"/>
      </w:pPr>
      <w:r>
        <w:t xml:space="preserve">Development of predictive statistical models for irrigation scheduling and pest outbreak forecasting specific to the Egypt Cairo climate zone.</w:t>
      </w:r>
    </w:p>
    <w:p>
      <w:pPr>
        <w:numPr>
          <w:ilvl w:val="0"/>
          <w:numId w:val="1001"/>
        </w:numPr>
        <w:pStyle w:val="Compact"/>
      </w:pPr>
      <w:r>
        <w:t xml:space="preserve">Preparation of peer-review-ready statistical methodology sections for journal publications.</w:t>
      </w:r>
    </w:p>
    <w:p>
      <w:pPr>
        <w:numPr>
          <w:ilvl w:val="0"/>
          <w:numId w:val="1001"/>
        </w:numPr>
        <w:pStyle w:val="Compact"/>
      </w:pPr>
      <w:r>
        <w:t xml:space="preserve">Training workshops (up to four sessions) for institute research staff on statistical software (R, SPSS, SAS) and experimental design principles.</w:t>
      </w:r>
    </w:p>
    <w:p>
      <w:pPr>
        <w:numPr>
          <w:ilvl w:val="0"/>
          <w:numId w:val="1001"/>
        </w:numPr>
        <w:pStyle w:val="Compact"/>
      </w:pPr>
      <w:r>
        <w:t xml:space="preserve">Monthly on-site consultation at the client's Cairo office, with additional remote support via video conferencing as needed.</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(EGP)</w:t>
            </w:r>
          </w:p>
        </w:tc>
        <w:tc>
          <w:tcPr/>
          <w:p>
            <w:pPr>
              <w:pStyle w:val="Compact"/>
              <w:jc w:val="left"/>
            </w:pPr>
            <w:r>
              <w:t xml:space="preserve">Subtotal (EGP)</w:t>
            </w:r>
          </w:p>
        </w:tc>
      </w:tr>
      <w:tr>
        <w:tc>
          <w:tcPr/>
          <w:p>
            <w:pPr>
              <w:pStyle w:val="Compact"/>
              <w:jc w:val="left"/>
            </w:pPr>
            <w:r>
              <w:t xml:space="preserve">1</w:t>
            </w:r>
          </w:p>
        </w:tc>
        <w:tc>
          <w:tcPr/>
          <w:p>
            <w:pPr>
              <w:pStyle w:val="Compact"/>
              <w:jc w:val="left"/>
            </w:pPr>
            <w:r>
              <w:t xml:space="preserve">Experimental Design &amp; Statistical Planning (on-site, Egypt Cairo)</w:t>
            </w:r>
          </w:p>
        </w:tc>
        <w:tc>
          <w:tcPr/>
          <w:p>
            <w:pPr>
              <w:pStyle w:val="Compact"/>
              <w:jc w:val="left"/>
            </w:pPr>
            <w:r>
              <w:t xml:space="preserve">3 days</w:t>
            </w:r>
          </w:p>
        </w:tc>
        <w:tc>
          <w:tcPr/>
          <w:p>
            <w:pPr>
              <w:pStyle w:val="Compact"/>
              <w:jc w:val="left"/>
            </w:pPr>
            <w:r>
              <w:t xml:space="preserve">8,500</w:t>
            </w:r>
          </w:p>
        </w:tc>
        <w:tc>
          <w:tcPr/>
          <w:p>
            <w:pPr>
              <w:pStyle w:val="Compact"/>
              <w:jc w:val="left"/>
            </w:pPr>
            <w:r>
              <w:t xml:space="preserve">25,500</w:t>
            </w:r>
          </w:p>
        </w:tc>
      </w:tr>
      <w:tr>
        <w:tc>
          <w:tcPr/>
          <w:p>
            <w:pPr>
              <w:pStyle w:val="Compact"/>
              <w:jc w:val="left"/>
            </w:pPr>
            <w:r>
              <w:t xml:space="preserve">2</w:t>
            </w:r>
          </w:p>
        </w:tc>
        <w:tc>
          <w:tcPr/>
          <w:p>
            <w:pPr>
              <w:pStyle w:val="Compact"/>
              <w:jc w:val="left"/>
            </w:pPr>
            <w:r>
              <w:t xml:space="preserve">Advanced Data Analysis &amp; Modeling (mixed models, regression)</w:t>
            </w:r>
          </w:p>
        </w:tc>
        <w:tc>
          <w:tcPr/>
          <w:p>
            <w:pPr>
              <w:pStyle w:val="Compact"/>
              <w:jc w:val="left"/>
            </w:pPr>
            <w:r>
              <w:t xml:space="preserve">20 hours</w:t>
            </w:r>
          </w:p>
        </w:tc>
        <w:tc>
          <w:tcPr/>
          <w:p>
            <w:pPr>
              <w:pStyle w:val="Compact"/>
              <w:jc w:val="left"/>
            </w:pPr>
            <w:r>
              <w:t xml:space="preserve">1,200</w:t>
            </w:r>
          </w:p>
        </w:tc>
        <w:tc>
          <w:tcPr/>
          <w:p>
            <w:pPr>
              <w:pStyle w:val="Compact"/>
              <w:jc w:val="left"/>
            </w:pPr>
            <w:r>
              <w:t xml:space="preserve">24,000</w:t>
            </w:r>
          </w:p>
        </w:tc>
      </w:tr>
      <w:tr>
        <w:tc>
          <w:tcPr/>
          <w:p>
            <w:pPr>
              <w:pStyle w:val="Compact"/>
              <w:jc w:val="left"/>
            </w:pPr>
            <w:r>
              <w:t xml:space="preserve">3</w:t>
            </w:r>
          </w:p>
        </w:tc>
        <w:tc>
          <w:tcPr/>
          <w:p>
            <w:pPr>
              <w:pStyle w:val="Compact"/>
              <w:jc w:val="left"/>
            </w:pPr>
            <w:r>
              <w:t xml:space="preserve">Predictive Model Development (irrigation &amp; pest forecasting)</w:t>
            </w:r>
          </w:p>
        </w:tc>
        <w:tc>
          <w:tcPr/>
          <w:p>
            <w:pPr>
              <w:pStyle w:val="Compact"/>
              <w:jc w:val="left"/>
            </w:pPr>
            <w:r>
              <w:t xml:space="preserve">15 hours</w:t>
            </w:r>
          </w:p>
        </w:tc>
        <w:tc>
          <w:tcPr/>
          <w:p>
            <w:pPr>
              <w:pStyle w:val="Compact"/>
              <w:jc w:val="left"/>
            </w:pPr>
            <w:r>
              <w:t xml:space="preserve">1,400</w:t>
            </w:r>
          </w:p>
        </w:tc>
        <w:tc>
          <w:tcPr/>
          <w:p>
            <w:pPr>
              <w:pStyle w:val="Compact"/>
              <w:jc w:val="left"/>
            </w:pPr>
            <w:r>
              <w:t xml:space="preserve">21,000</w:t>
            </w:r>
          </w:p>
        </w:tc>
      </w:tr>
      <w:tr>
        <w:tc>
          <w:tcPr/>
          <w:p>
            <w:pPr>
              <w:pStyle w:val="Compact"/>
              <w:jc w:val="left"/>
            </w:pPr>
            <w:r>
              <w:t xml:space="preserve">4</w:t>
            </w:r>
          </w:p>
        </w:tc>
        <w:tc>
          <w:tcPr/>
          <w:p>
            <w:pPr>
              <w:pStyle w:val="Compact"/>
              <w:jc w:val="left"/>
            </w:pPr>
            <w:r>
              <w:t xml:space="preserve">Statistical Report Writing &amp; Journal-Ready Methodology</w:t>
            </w:r>
          </w:p>
        </w:tc>
        <w:tc>
          <w:tcPr/>
          <w:p>
            <w:pPr>
              <w:pStyle w:val="Compact"/>
              <w:jc w:val="left"/>
            </w:pPr>
            <w:r>
              <w:t xml:space="preserve">2 reports</w:t>
            </w:r>
          </w:p>
        </w:tc>
        <w:tc>
          <w:tcPr/>
          <w:p>
            <w:pPr>
              <w:pStyle w:val="Compact"/>
              <w:jc w:val="left"/>
            </w:pPr>
            <w:r>
              <w:t xml:space="preserve">12,000</w:t>
            </w:r>
          </w:p>
        </w:tc>
        <w:tc>
          <w:tcPr/>
          <w:p>
            <w:pPr>
              <w:pStyle w:val="Compact"/>
              <w:jc w:val="left"/>
            </w:pPr>
            <w:r>
              <w:t xml:space="preserve">24,000</w:t>
            </w:r>
          </w:p>
        </w:tc>
      </w:tr>
      <w:tr>
        <w:tc>
          <w:tcPr/>
          <w:p>
            <w:pPr>
              <w:pStyle w:val="Compact"/>
              <w:jc w:val="left"/>
            </w:pPr>
            <w:r>
              <w:t xml:space="preserve">5</w:t>
            </w:r>
          </w:p>
        </w:tc>
        <w:tc>
          <w:tcPr/>
          <w:p>
            <w:pPr>
              <w:pStyle w:val="Compact"/>
              <w:jc w:val="left"/>
            </w:pPr>
            <w:r>
              <w:t xml:space="preserve">Training Workshops for Research Staff (Egypt Cairo venue)</w:t>
            </w:r>
          </w:p>
        </w:tc>
        <w:tc>
          <w:tcPr/>
          <w:p>
            <w:pPr>
              <w:pStyle w:val="Compact"/>
              <w:jc w:val="left"/>
            </w:pPr>
            <w:r>
              <w:t xml:space="preserve">4 sessions (4 hrs each)</w:t>
            </w:r>
          </w:p>
        </w:tc>
        <w:tc>
          <w:tcPr/>
          <w:p>
            <w:pPr>
              <w:pStyle w:val="Compact"/>
              <w:jc w:val="left"/>
            </w:pPr>
            <w:r>
              <w:t xml:space="preserve">6,500</w:t>
            </w:r>
          </w:p>
        </w:tc>
        <w:tc>
          <w:tcPr/>
          <w:p>
            <w:pPr>
              <w:pStyle w:val="Compact"/>
              <w:jc w:val="left"/>
            </w:pPr>
            <w:r>
              <w:t xml:space="preserve">26,000</w:t>
            </w:r>
          </w:p>
        </w:tc>
      </w:tr>
      <w:tr>
        <w:tc>
          <w:tcPr/>
          <w:p>
            <w:pPr>
              <w:pStyle w:val="Compact"/>
              <w:jc w:val="left"/>
            </w:pPr>
            <w:r>
              <w:t xml:space="preserve">6</w:t>
            </w:r>
          </w:p>
        </w:tc>
        <w:tc>
          <w:tcPr/>
          <w:p>
            <w:pPr>
              <w:pStyle w:val="Compact"/>
              <w:jc w:val="left"/>
            </w:pPr>
            <w:r>
              <w:t xml:space="preserve">Monthly On-Site Consultation (Cairo office visits)</w:t>
            </w:r>
          </w:p>
        </w:tc>
        <w:tc>
          <w:tcPr/>
          <w:p>
            <w:pPr>
              <w:pStyle w:val="Compact"/>
              <w:jc w:val="left"/>
            </w:pPr>
            <w:r>
              <w:t xml:space="preserve">6 months</w:t>
            </w:r>
          </w:p>
        </w:tc>
        <w:tc>
          <w:tcPr/>
          <w:p>
            <w:pPr>
              <w:pStyle w:val="Compact"/>
              <w:jc w:val="left"/>
            </w:pPr>
            <w:r>
              <w:t xml:space="preserve">5,000</w:t>
            </w:r>
          </w:p>
        </w:tc>
        <w:tc>
          <w:tcPr/>
          <w:p>
            <w:pPr>
              <w:pStyle w:val="Compact"/>
              <w:jc w:val="left"/>
            </w:pPr>
            <w:r>
              <w:t xml:space="preserve">30,000</w:t>
            </w:r>
          </w:p>
        </w:tc>
      </w:tr>
      <w:tr>
        <w:tc>
          <w:tcPr/>
          <w:p>
            <w:pPr>
              <w:pStyle w:val="Compact"/>
              <w:jc w:val="left"/>
            </w:pPr>
            <w:r>
              <w:t xml:space="preserve">7</w:t>
            </w:r>
          </w:p>
        </w:tc>
        <w:tc>
          <w:tcPr/>
          <w:p>
            <w:pPr>
              <w:pStyle w:val="Compact"/>
              <w:jc w:val="left"/>
            </w:pPr>
            <w:r>
              <w:t xml:space="preserve">Remote Statistical Support &amp; Email/Video Consultation</w:t>
            </w:r>
          </w:p>
        </w:tc>
        <w:tc>
          <w:tcPr/>
          <w:p>
            <w:pPr>
              <w:pStyle w:val="Compact"/>
              <w:jc w:val="left"/>
            </w:pPr>
            <w:r>
              <w:t xml:space="preserve">6 months</w:t>
            </w:r>
          </w:p>
        </w:tc>
        <w:tc>
          <w:tcPr/>
          <w:p>
            <w:pPr>
              <w:pStyle w:val="Compact"/>
              <w:jc w:val="left"/>
            </w:pPr>
            <w:r>
              <w:t xml:space="preserve">3,000</w:t>
            </w:r>
          </w:p>
        </w:tc>
        <w:tc>
          <w:tcPr/>
          <w:p>
            <w:pPr>
              <w:pStyle w:val="Compact"/>
              <w:jc w:val="left"/>
            </w:pPr>
            <w:r>
              <w:t xml:space="preserve">18,000</w:t>
            </w:r>
          </w:p>
        </w:tc>
      </w:tr>
      <w:tr>
        <w:tc>
          <w:tcPr/>
          <w:p>
            <w:pPr>
              <w:pStyle w:val="Compact"/>
              <w:jc w:val="left"/>
            </w:pPr>
            <w:r>
              <w:t xml:space="preserve">8</w:t>
            </w:r>
          </w:p>
        </w:tc>
        <w:tc>
          <w:tcPr/>
          <w:p>
            <w:pPr>
              <w:pStyle w:val="Compact"/>
              <w:jc w:val="left"/>
            </w:pPr>
            <w:r>
              <w:t xml:space="preserve">Software Licensing &amp; Computational Resources (SAS, R packages)</w:t>
            </w:r>
          </w:p>
        </w:tc>
        <w:tc>
          <w:tcPr/>
          <w:p>
            <w:pPr>
              <w:pStyle w:val="Compact"/>
              <w:jc w:val="left"/>
            </w:pPr>
            <w:r>
              <w:t xml:space="preserve">1 project</w:t>
            </w:r>
          </w:p>
        </w:tc>
        <w:tc>
          <w:tcPr/>
          <w:p>
            <w:pPr>
              <w:pStyle w:val="Compact"/>
              <w:jc w:val="left"/>
            </w:pPr>
            <w:r>
              <w:t xml:space="preserve">15,000</w:t>
            </w:r>
          </w:p>
        </w:tc>
        <w:tc>
          <w:tcPr/>
          <w:p>
            <w:pPr>
              <w:pStyle w:val="Compact"/>
              <w:jc w:val="left"/>
            </w:pPr>
            <w:r>
              <w:t xml:space="preserve">15,000</w:t>
            </w:r>
          </w:p>
        </w:tc>
      </w:tr>
      <w:tr>
        <w:tc>
          <w:tcPr>
            <w:gridSpan w:val="4"/>
          </w:tcPr>
          <w:p>
            <w:pPr>
              <w:pStyle w:val="Compact"/>
              <w:jc w:val="right"/>
            </w:pPr>
            <w:r>
              <w:t xml:space="preserve">TOTAL ESTIMATED COST (EGP)</w:t>
            </w:r>
          </w:p>
        </w:tc>
        <w:tc>
          <w:tcPr/>
          <w:p>
            <w:pPr>
              <w:pStyle w:val="Compact"/>
              <w:jc w:val="left"/>
            </w:pPr>
            <w:r>
              <w:t xml:space="preserve">203,500</w:t>
            </w:r>
          </w:p>
        </w:tc>
      </w:tr>
      <w:tr>
        <w:tc>
          <w:tcPr>
            <w:gridSpan w:val="4"/>
          </w:tcPr>
          <w:p>
            <w:pPr>
              <w:pStyle w:val="Compact"/>
              <w:jc w:val="right"/>
            </w:pPr>
            <w:r>
              <w:t xml:space="preserve">VAT (14% — Egypt Tax Authority)</w:t>
            </w:r>
          </w:p>
        </w:tc>
        <w:tc>
          <w:tcPr/>
          <w:p>
            <w:pPr>
              <w:pStyle w:val="Compact"/>
              <w:jc w:val="left"/>
            </w:pPr>
            <w:r>
              <w:t xml:space="preserve">28,490</w:t>
            </w:r>
          </w:p>
        </w:tc>
      </w:tr>
      <w:tr>
        <w:tc>
          <w:tcPr>
            <w:gridSpan w:val="4"/>
          </w:tcPr>
          <w:p>
            <w:pPr>
              <w:pStyle w:val="Compact"/>
              <w:jc w:val="right"/>
            </w:pPr>
            <w:r>
              <w:t xml:space="preserve">GRAND TOTAL (EGP)</w:t>
            </w:r>
          </w:p>
        </w:tc>
        <w:tc>
          <w:tcPr/>
          <w:p>
            <w:pPr>
              <w:pStyle w:val="Compact"/>
              <w:jc w:val="left"/>
            </w:pPr>
            <w:r>
              <w:t xml:space="preserve">231,990</w:t>
            </w:r>
          </w:p>
        </w:tc>
      </w:tr>
    </w:tbl>
    <w:bookmarkEnd w:id="23"/>
    <w:bookmarkStart w:id="24" w:name="payment-terms"/>
    <w:p>
      <w:pPr>
        <w:pStyle w:val="Heading2"/>
      </w:pPr>
      <w:r>
        <w:t xml:space="preserve">4. Payment Terms</w:t>
      </w:r>
    </w:p>
    <w:p>
      <w:pPr>
        <w:pStyle w:val="FirstParagraph"/>
      </w:pPr>
      <w:r>
        <w:t xml:space="preserve">Payment for the services described in this Quotation Estimate shall be made in three equal installments: 40% upon contract signing, 30% upon completion of the mid-project deliverables (end of month three), and 30% upon final delivery and acceptance of all reports and models. All payments shall be made via bank transfer to the account of Cairo Statistical Consulting Group, National Bank of Egypt, Cairo branch. Late payments shall incur a monthly interest charge of 2% in accordance with Egyptian commercial law.</w:t>
      </w:r>
    </w:p>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This Quotation Estimate is valid for thirty (30) calendar days from the date of issue. After this period, rates may be subject to revision based on market conditions in Egypt Cairo.</w:t>
      </w:r>
    </w:p>
    <w:p>
      <w:pPr>
        <w:pStyle w:val="BodyText"/>
      </w:pPr>
      <w:r>
        <w:rPr>
          <w:bCs/>
          <w:b/>
        </w:rPr>
        <w:t xml:space="preserve">5.2</w:t>
      </w:r>
      <w:r>
        <w:t xml:space="preserve"> </w:t>
      </w:r>
      <w:r>
        <w:t xml:space="preserve">The Statistician shall maintain full confidentiality of all data, research findings, and proprietary information provided by the client in Egypt Cairo. A separate Non-Disclosure Agreement (NDA) shall be executed prior to commencement of work.</w:t>
      </w:r>
    </w:p>
    <w:p>
      <w:pPr>
        <w:pStyle w:val="BodyText"/>
      </w:pPr>
      <w:r>
        <w:rPr>
          <w:bCs/>
          <w:b/>
        </w:rPr>
        <w:t xml:space="preserve">5.3</w:t>
      </w:r>
      <w:r>
        <w:t xml:space="preserve"> </w:t>
      </w:r>
      <w:r>
        <w:t xml:space="preserve">All deliverables, including statistical reports, code, and models, shall be the exclusive intellectual property of the client upon full payment.</w:t>
      </w:r>
    </w:p>
    <w:p>
      <w:pPr>
        <w:pStyle w:val="BodyText"/>
      </w:pPr>
      <w:r>
        <w:rPr>
          <w:bCs/>
          <w:b/>
        </w:rPr>
        <w:t xml:space="preserve">5.4</w:t>
      </w:r>
      <w:r>
        <w:t xml:space="preserve"> </w:t>
      </w:r>
      <w:r>
        <w:t xml:space="preserve">Any changes to the scope of work beyond what is described in this Quotation Estimate shall require a written change order signed by both parties, with corresponding adjustments to the total cost.</w:t>
      </w:r>
    </w:p>
    <w:p>
      <w:pPr>
        <w:pStyle w:val="BodyText"/>
      </w:pPr>
      <w:r>
        <w:rPr>
          <w:bCs/>
          <w:b/>
        </w:rPr>
        <w:t xml:space="preserve">5.5</w:t>
      </w:r>
      <w:r>
        <w:t xml:space="preserve"> </w:t>
      </w:r>
      <w:r>
        <w:t xml:space="preserve">The Statistician reserves the right to decline engagement if the data provided is insufficient or if the research objectives fall outside the scope of statistical feasibility.</w:t>
      </w:r>
    </w:p>
    <w:p>
      <w:pPr>
        <w:pStyle w:val="BodyText"/>
      </w:pPr>
      <w:r>
        <w:rPr>
          <w:bCs/>
          <w:b/>
        </w:rPr>
        <w:t xml:space="preserve">5.6</w:t>
      </w:r>
      <w:r>
        <w:t xml:space="preserve"> </w:t>
      </w:r>
      <w:r>
        <w:t xml:space="preserve">This Quotation Estimate is governed by the laws of the Arab Republic of Egypt. Any disputes shall be resolved through the competent courts in Cairo, Egypt.</w:t>
      </w:r>
    </w:p>
    <w:p>
      <w:pPr>
        <w:pStyle w:val="BodyText"/>
      </w:pPr>
      <w:r>
        <w:rPr>
          <w:bCs/>
          <w:b/>
        </w:rPr>
        <w:t xml:space="preserve">Note:</w:t>
      </w:r>
      <w:r>
        <w:t xml:space="preserve"> </w:t>
      </w:r>
      <w:r>
        <w:t xml:space="preserve">This Quotation Estimate assumes standard working hours (Monday to Friday, 9:00 AM – 5:00 PM Egypt Standard Time). Overtime or weekend work in Egypt Cairo will be billed at 1.5x the standard hourly rate. Travel expenses beyond the Cairo metropolitan area (e.g., field stations in Giza, 6th of October City) are included up to 500 EGP per visit; additional travel will be invoiced separately.</w:t>
      </w:r>
    </w:p>
    <w:bookmarkEnd w:id="25"/>
    <w:bookmarkStart w:id="26" w:name="acceptance"/>
    <w:p>
      <w:pPr>
        <w:pStyle w:val="Heading2"/>
      </w:pPr>
      <w:r>
        <w:t xml:space="preserve">6. Acceptance</w:t>
      </w:r>
    </w:p>
    <w:p>
      <w:pPr>
        <w:pStyle w:val="FirstParagraph"/>
      </w:pPr>
      <w:r>
        <w:t xml:space="preserve">By signing below, the client acknowledges receipt of this Quotation Estimate and agrees to the terms, conditions, and pricing outlined herein for the engagement of the Statistician in Egypt Cairo. This signature does not constitute a final contract but serves as a formal acceptance of the estimated costs and scope of work.</w:t>
      </w:r>
    </w:p>
    <w:p>
      <w:pPr>
        <w:pStyle w:val="BodyText"/>
      </w:pPr>
      <w:r>
        <w:rPr>
          <w:bCs/>
          <w:b/>
        </w:rPr>
        <w:t xml:space="preserve">Prepared &amp; Issued By:</w:t>
      </w:r>
      <w:r>
        <w:br/>
      </w:r>
      <w:r>
        <w:br/>
      </w:r>
      <w:r>
        <w:t xml:space="preserve">______________________________</w:t>
      </w:r>
      <w:r>
        <w:br/>
      </w:r>
      <w:r>
        <w:t xml:space="preserve">Dr. Ahmed Hassan El-Sayed</w:t>
      </w:r>
      <w:r>
        <w:br/>
      </w:r>
      <w:r>
        <w:t xml:space="preserve">Senior Statistician</w:t>
      </w:r>
      <w:r>
        <w:br/>
      </w:r>
      <w:r>
        <w:t xml:space="preserve">Cairo Statistical Consulting Group</w:t>
      </w:r>
      <w:r>
        <w:br/>
      </w:r>
      <w:r>
        <w:t xml:space="preserve">Date: _______________</w:t>
      </w:r>
    </w:p>
    <w:p>
      <w:pPr>
        <w:pStyle w:val="BodyText"/>
      </w:pPr>
      <w:r>
        <w:rPr>
          <w:bCs/>
          <w:b/>
        </w:rPr>
        <w:t xml:space="preserve">Accepted By (Client):</w:t>
      </w:r>
      <w:r>
        <w:br/>
      </w:r>
      <w:r>
        <w:br/>
      </w:r>
      <w:r>
        <w:t xml:space="preserve">______________________________</w:t>
      </w:r>
      <w:r>
        <w:br/>
      </w:r>
      <w:r>
        <w:t xml:space="preserve">Dr. Mona Fathy Abdel-Rahman</w:t>
      </w:r>
      <w:r>
        <w:br/>
      </w:r>
      <w:r>
        <w:t xml:space="preserve">Head of Research Department</w:t>
      </w:r>
      <w:r>
        <w:br/>
      </w:r>
      <w:r>
        <w:t xml:space="preserve">Nile Valley Agricultural Research Institute</w:t>
      </w:r>
      <w:r>
        <w:br/>
      </w:r>
      <w:r>
        <w:t xml:space="preserve">Date: _______________</w:t>
      </w:r>
    </w:p>
    <w:p>
      <w:pPr>
        <w:pStyle w:val="BodyText"/>
      </w:pPr>
      <w:r>
        <w:t xml:space="preserve">© 2025 Cairo Statistical Consulting Group — Quotation Estimate QTE-2025-CAI-0047 — Statistician Services, Egypt Cairo</w:t>
      </w:r>
      <w:r>
        <w:br/>
      </w:r>
      <w:r>
        <w:t xml:space="preserve">This document is confidential and intended solely for the named recipient.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Statistician Services - Egypt Cairo</dc:title>
  <dc:creator/>
  <dc:language>en</dc:language>
  <cp:keywords/>
  <dcterms:created xsi:type="dcterms:W3CDTF">2026-10-10T01:45:23Z</dcterms:created>
  <dcterms:modified xsi:type="dcterms:W3CDTF">2026-10-10T01:45:23Z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