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Statistician</w:t>
      </w:r>
      <w:r>
        <w:t xml:space="preserve"> </w:t>
      </w:r>
      <w:r>
        <w:t xml:space="preserve">Services</w:t>
      </w:r>
      <w:r>
        <w:t xml:space="preserve"> </w:t>
      </w:r>
      <w:r>
        <w:t xml:space="preserve">-</w:t>
      </w:r>
      <w:r>
        <w:t xml:space="preserve"> </w:t>
      </w:r>
      <w:r>
        <w:t xml:space="preserve">Germany</w:t>
      </w:r>
      <w:r>
        <w:t xml:space="preserve"> </w:t>
      </w:r>
      <w:r>
        <w:t xml:space="preserve">Frankfurt</w:t>
      </w:r>
    </w:p>
    <w:bookmarkStart w:id="20" w:name="quantum-analytics-consulting-gmbh"/>
    <w:p>
      <w:pPr>
        <w:pStyle w:val="Heading1"/>
      </w:pPr>
      <w:r>
        <w:t xml:space="preserve">Quantum Analytics Consulting GmbH</w:t>
      </w:r>
    </w:p>
    <w:p>
      <w:pPr>
        <w:pStyle w:val="FirstParagraph"/>
      </w:pPr>
      <w:r>
        <w:t xml:space="preserve">Professional Statistical &amp; Data Science Services</w:t>
      </w:r>
    </w:p>
    <w:p>
      <w:pPr>
        <w:pStyle w:val="BodyText"/>
      </w:pPr>
      <w:r>
        <w:t xml:space="preserve">Mainzer Landstraße 145, 60329 Frankfurt am Main, Germany</w:t>
      </w:r>
    </w:p>
    <w:p>
      <w:pPr>
        <w:pStyle w:val="BodyText"/>
      </w:pPr>
      <w:r>
        <w:t xml:space="preserve">Tel: +49 69 1234 5678 | Email: quotations@quantumanalytics.de</w:t>
      </w:r>
    </w:p>
    <w:p>
      <w:pPr>
        <w:pStyle w:val="BodyText"/>
      </w:pPr>
      <w:r>
        <w:t xml:space="preserve">USt-IdNr: DE 312 456 789</w:t>
      </w:r>
    </w:p>
    <w:bookmarkEnd w:id="20"/>
    <w:p>
      <w:pPr>
        <w:pStyle w:val="BodyText"/>
      </w:pPr>
      <w:r>
        <w:t xml:space="preserve">Quotation Estimate</w:t>
      </w:r>
    </w:p>
    <w:bookmarkStart w:id="21" w:name="quotation-details"/>
    <w:p>
      <w:pPr>
        <w:pStyle w:val="Heading3"/>
      </w:pPr>
      <w:r>
        <w:t xml:space="preserve">Quotation Details</w:t>
      </w:r>
    </w:p>
    <w:p>
      <w:pPr>
        <w:pStyle w:val="FirstParagraph"/>
      </w:pPr>
      <w:r>
        <w:rPr>
          <w:bCs/>
          <w:b/>
        </w:rPr>
        <w:t xml:space="preserve">Quotation No.:</w:t>
      </w:r>
      <w:r>
        <w:t xml:space="preserve"> </w:t>
      </w:r>
      <w:r>
        <w:t xml:space="preserve">QE-2025-FRA-0047</w:t>
      </w:r>
    </w:p>
    <w:p>
      <w:pPr>
        <w:pStyle w:val="BodyText"/>
      </w:pPr>
      <w:r>
        <w:rPr>
          <w:bCs/>
          <w:b/>
        </w:rPr>
        <w:t xml:space="preserve">Date of Issue:</w:t>
      </w:r>
      <w:r>
        <w:t xml:space="preserve"> </w:t>
      </w:r>
      <w:r>
        <w:t xml:space="preserve">14 June 2025</w:t>
      </w:r>
    </w:p>
    <w:p>
      <w:pPr>
        <w:pStyle w:val="BodyText"/>
      </w:pPr>
      <w:r>
        <w:rPr>
          <w:bCs/>
          <w:b/>
        </w:rPr>
        <w:t xml:space="preserve">Valid Until:</w:t>
      </w:r>
      <w:r>
        <w:t xml:space="preserve"> </w:t>
      </w:r>
      <w:r>
        <w:t xml:space="preserve">14 July 2025</w:t>
      </w:r>
    </w:p>
    <w:p>
      <w:pPr>
        <w:pStyle w:val="BodyText"/>
      </w:pPr>
      <w:r>
        <w:rPr>
          <w:bCs/>
          <w:b/>
        </w:rPr>
        <w:t xml:space="preserve">Project Location:</w:t>
      </w:r>
      <w:r>
        <w:t xml:space="preserve"> </w:t>
      </w:r>
      <w:r>
        <w:t xml:space="preserve">Germany Frankfurt</w:t>
      </w:r>
    </w:p>
    <w:bookmarkEnd w:id="21"/>
    <w:bookmarkStart w:id="22" w:name="client-information"/>
    <w:p>
      <w:pPr>
        <w:pStyle w:val="Heading3"/>
      </w:pPr>
      <w:r>
        <w:t xml:space="preserve">Client Information</w:t>
      </w:r>
    </w:p>
    <w:p>
      <w:pPr>
        <w:pStyle w:val="FirstParagraph"/>
      </w:pPr>
      <w:r>
        <w:rPr>
          <w:bCs/>
          <w:b/>
        </w:rPr>
        <w:t xml:space="preserve">Client:</w:t>
      </w:r>
      <w:r>
        <w:t xml:space="preserve"> </w:t>
      </w:r>
      <w:r>
        <w:t xml:space="preserve">Rhein-Main Industrial Group AG</w:t>
      </w:r>
    </w:p>
    <w:p>
      <w:pPr>
        <w:pStyle w:val="BodyText"/>
      </w:pPr>
      <w:r>
        <w:rPr>
          <w:bCs/>
          <w:b/>
        </w:rPr>
        <w:t xml:space="preserve">Address:</w:t>
      </w:r>
      <w:r>
        <w:t xml:space="preserve"> </w:t>
      </w:r>
      <w:r>
        <w:t xml:space="preserve">Bockenheimer Landstraße 88, 60323 Frankfurt am Main</w:t>
      </w:r>
    </w:p>
    <w:p>
      <w:pPr>
        <w:pStyle w:val="BodyText"/>
      </w:pPr>
      <w:r>
        <w:rPr>
          <w:bCs/>
          <w:b/>
        </w:rPr>
        <w:t xml:space="preserve">Contact Person:</w:t>
      </w:r>
      <w:r>
        <w:t xml:space="preserve"> </w:t>
      </w:r>
      <w:r>
        <w:t xml:space="preserve">Dr. Markus Weber, Head of Operations</w:t>
      </w:r>
    </w:p>
    <w:p>
      <w:pPr>
        <w:pStyle w:val="BodyText"/>
      </w:pPr>
      <w:r>
        <w:rPr>
          <w:bCs/>
          <w:b/>
        </w:rPr>
        <w:t xml:space="preserve">Email:</w:t>
      </w:r>
      <w:r>
        <w:t xml:space="preserve"> </w:t>
      </w:r>
      <w:r>
        <w:t xml:space="preserve">m.weber@rheinmain-industrial.de</w:t>
      </w:r>
    </w:p>
    <w:bookmarkEnd w:id="22"/>
    <w:p>
      <w:pPr>
        <w:pStyle w:val="BodyText"/>
      </w:pPr>
      <w:r>
        <w:t xml:space="preserve">Scope of Work – Statistician Engagement in Germany Frankfurt</w:t>
      </w:r>
    </w:p>
    <w:p>
      <w:pPr>
        <w:pStyle w:val="BodyText"/>
      </w:pPr>
      <w:r>
        <w:t xml:space="preserve">This</w:t>
      </w:r>
      <w:r>
        <w:t xml:space="preserve"> </w:t>
      </w:r>
      <w:r>
        <w:t xml:space="preserve">Quotation Estimate</w:t>
      </w:r>
      <w:r>
        <w:t xml:space="preserve"> </w:t>
      </w:r>
      <w:r>
        <w:t xml:space="preserve">is issued by Quantum Analytics Consulting GmbH to provide a comprehensive and transparent cost breakdown for the engagement of a senior</w:t>
      </w:r>
      <w:r>
        <w:t xml:space="preserve"> </w:t>
      </w:r>
      <w:r>
        <w:t xml:space="preserve">Statistician</w:t>
      </w:r>
      <w:r>
        <w:t xml:space="preserve"> </w:t>
      </w:r>
      <w:r>
        <w:t xml:space="preserve">to be deployed at the client's operational headquarters in</w:t>
      </w:r>
      <w:r>
        <w:t xml:space="preserve"> </w:t>
      </w:r>
      <w:r>
        <w:t xml:space="preserve">Germany Frankfurt</w:t>
      </w:r>
      <w:r>
        <w:t xml:space="preserve">. The Statistician will be responsible for designing, implementing, and overseeing advanced statistical modelling, predictive analytics, and data-driven decision frameworks tailored to the client's manufacturing and logistics operations within the Frankfurt metropolitan region.</w:t>
      </w:r>
    </w:p>
    <w:p>
      <w:pPr>
        <w:pStyle w:val="BodyText"/>
      </w:pPr>
      <w:r>
        <w:t xml:space="preserve">The Statistician engagement in Germany Frankfurt will encompass the following core deliverables: development of multivariate regression models for supply chain optimisation, construction of time-series forecasting systems for demand planning, execution of hypothesis testing and quality control analyses across production lines, and the preparation of executive-level statistical reports in compliance with German data protection regulations (DSGVO/GDPR). The Statistician will work on-site at the client's Frankfurt facility for a minimum of four days per week, with remote availability for additional analytical support as required.</w:t>
      </w:r>
    </w:p>
    <w:p>
      <w:pPr>
        <w:pStyle w:val="BodyText"/>
      </w:pPr>
      <w:r>
        <w:t xml:space="preserve">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Service</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Amount (EUR)</w:t>
            </w:r>
          </w:p>
        </w:tc>
      </w:tr>
      <w:tr>
        <w:tc>
          <w:tcPr/>
          <w:p>
            <w:pPr>
              <w:pStyle w:val="Compact"/>
              <w:jc w:val="left"/>
            </w:pPr>
            <w:r>
              <w:t xml:space="preserve">01</w:t>
            </w:r>
          </w:p>
        </w:tc>
        <w:tc>
          <w:tcPr/>
          <w:p>
            <w:pPr>
              <w:pStyle w:val="Compact"/>
              <w:jc w:val="left"/>
            </w:pPr>
            <w:r>
              <w:t xml:space="preserve">Senior Statistician – On-site deployment at Germany Frankfurt office (includes statistical modelling, data analysis, and reporting)</w:t>
            </w:r>
          </w:p>
        </w:tc>
        <w:tc>
          <w:tcPr/>
          <w:p>
            <w:pPr>
              <w:pStyle w:val="Compact"/>
              <w:jc w:val="left"/>
            </w:pPr>
            <w:r>
              <w:t xml:space="preserve">6 months (approx. 104 working days)</w:t>
            </w:r>
          </w:p>
        </w:tc>
        <w:tc>
          <w:tcPr/>
          <w:p>
            <w:pPr>
              <w:pStyle w:val="Compact"/>
              <w:jc w:val="left"/>
            </w:pPr>
            <w:r>
              <w:t xml:space="preserve">1,250.00 / day</w:t>
            </w:r>
          </w:p>
        </w:tc>
        <w:tc>
          <w:tcPr/>
          <w:p>
            <w:pPr>
              <w:pStyle w:val="Compact"/>
              <w:jc w:val="left"/>
            </w:pPr>
            <w:r>
              <w:t xml:space="preserve">130,000.00</w:t>
            </w:r>
          </w:p>
        </w:tc>
      </w:tr>
      <w:tr>
        <w:tc>
          <w:tcPr/>
          <w:p>
            <w:pPr>
              <w:pStyle w:val="Compact"/>
              <w:jc w:val="left"/>
            </w:pPr>
            <w:r>
              <w:t xml:space="preserve">02</w:t>
            </w:r>
          </w:p>
        </w:tc>
        <w:tc>
          <w:tcPr/>
          <w:p>
            <w:pPr>
              <w:pStyle w:val="Compact"/>
              <w:jc w:val="left"/>
            </w:pPr>
            <w:r>
              <w:t xml:space="preserve">Statistical software licensing (R, SAS, Python ecosystem) – Statistician workstation setup in Germany Frankfurt</w:t>
            </w:r>
          </w:p>
        </w:tc>
        <w:tc>
          <w:tcPr/>
          <w:p>
            <w:pPr>
              <w:pStyle w:val="Compact"/>
              <w:jc w:val="left"/>
            </w:pPr>
            <w:r>
              <w:t xml:space="preserve">1 lot</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03</w:t>
            </w:r>
          </w:p>
        </w:tc>
        <w:tc>
          <w:tcPr/>
          <w:p>
            <w:pPr>
              <w:pStyle w:val="Compact"/>
              <w:jc w:val="left"/>
            </w:pPr>
            <w:r>
              <w:t xml:space="preserve">Advanced predictive analytics model development and validation (supply chain &amp; demand forecasting)</w:t>
            </w:r>
          </w:p>
        </w:tc>
        <w:tc>
          <w:tcPr/>
          <w:p>
            <w:pPr>
              <w:pStyle w:val="Compact"/>
              <w:jc w:val="left"/>
            </w:pPr>
            <w:r>
              <w:t xml:space="preserve">3 model cycles</w:t>
            </w:r>
          </w:p>
        </w:tc>
        <w:tc>
          <w:tcPr/>
          <w:p>
            <w:pPr>
              <w:pStyle w:val="Compact"/>
              <w:jc w:val="left"/>
            </w:pPr>
            <w:r>
              <w:t xml:space="preserve">8,500.00 / cycle</w:t>
            </w:r>
          </w:p>
        </w:tc>
        <w:tc>
          <w:tcPr/>
          <w:p>
            <w:pPr>
              <w:pStyle w:val="Compact"/>
              <w:jc w:val="left"/>
            </w:pPr>
            <w:r>
              <w:t xml:space="preserve">25,500.00</w:t>
            </w:r>
          </w:p>
        </w:tc>
      </w:tr>
      <w:tr>
        <w:tc>
          <w:tcPr/>
          <w:p>
            <w:pPr>
              <w:pStyle w:val="Compact"/>
              <w:jc w:val="left"/>
            </w:pPr>
            <w:r>
              <w:t xml:space="preserve">04</w:t>
            </w:r>
          </w:p>
        </w:tc>
        <w:tc>
          <w:tcPr/>
          <w:p>
            <w:pPr>
              <w:pStyle w:val="Compact"/>
              <w:jc w:val="left"/>
            </w:pPr>
            <w:r>
              <w:t xml:space="preserve">Quality assurance statistical audits – production line variance analysis in Germany Frankfurt facilities</w:t>
            </w:r>
          </w:p>
        </w:tc>
        <w:tc>
          <w:tcPr/>
          <w:p>
            <w:pPr>
              <w:pStyle w:val="Compact"/>
              <w:jc w:val="left"/>
            </w:pPr>
            <w:r>
              <w:t xml:space="preserve">12 monthly audits</w:t>
            </w:r>
          </w:p>
        </w:tc>
        <w:tc>
          <w:tcPr/>
          <w:p>
            <w:pPr>
              <w:pStyle w:val="Compact"/>
              <w:jc w:val="left"/>
            </w:pPr>
            <w:r>
              <w:t xml:space="preserve">2,200.00 / audit</w:t>
            </w:r>
          </w:p>
        </w:tc>
        <w:tc>
          <w:tcPr/>
          <w:p>
            <w:pPr>
              <w:pStyle w:val="Compact"/>
              <w:jc w:val="left"/>
            </w:pPr>
            <w:r>
              <w:t xml:space="preserve">26,400.00</w:t>
            </w:r>
          </w:p>
        </w:tc>
      </w:tr>
      <w:tr>
        <w:tc>
          <w:tcPr/>
          <w:p>
            <w:pPr>
              <w:pStyle w:val="Compact"/>
              <w:jc w:val="left"/>
            </w:pPr>
            <w:r>
              <w:t xml:space="preserve">05</w:t>
            </w:r>
          </w:p>
        </w:tc>
        <w:tc>
          <w:tcPr/>
          <w:p>
            <w:pPr>
              <w:pStyle w:val="Compact"/>
              <w:jc w:val="left"/>
            </w:pPr>
            <w:r>
              <w:t xml:space="preserve">Executive statistical reporting and board presentation preparation (quarterly)</w:t>
            </w:r>
          </w:p>
        </w:tc>
        <w:tc>
          <w:tcPr/>
          <w:p>
            <w:pPr>
              <w:pStyle w:val="Compact"/>
              <w:jc w:val="left"/>
            </w:pPr>
            <w:r>
              <w:t xml:space="preserve">2 quarters</w:t>
            </w:r>
          </w:p>
        </w:tc>
        <w:tc>
          <w:tcPr/>
          <w:p>
            <w:pPr>
              <w:pStyle w:val="Compact"/>
              <w:jc w:val="left"/>
            </w:pPr>
            <w:r>
              <w:t xml:space="preserve">3,500.00 / quarter</w:t>
            </w:r>
          </w:p>
        </w:tc>
        <w:tc>
          <w:tcPr/>
          <w:p>
            <w:pPr>
              <w:pStyle w:val="Compact"/>
              <w:jc w:val="left"/>
            </w:pPr>
            <w:r>
              <w:t xml:space="preserve">7,000.00</w:t>
            </w:r>
          </w:p>
        </w:tc>
      </w:tr>
      <w:tr>
        <w:tc>
          <w:tcPr/>
          <w:p>
            <w:pPr>
              <w:pStyle w:val="Compact"/>
              <w:jc w:val="left"/>
            </w:pPr>
            <w:r>
              <w:t xml:space="preserve">06</w:t>
            </w:r>
          </w:p>
        </w:tc>
        <w:tc>
          <w:tcPr/>
          <w:p>
            <w:pPr>
              <w:pStyle w:val="Compact"/>
              <w:jc w:val="left"/>
            </w:pPr>
            <w:r>
              <w:t xml:space="preserve">DSGVO/GDPR compliance review of statistical data handling procedures in Germany Frankfurt</w:t>
            </w:r>
          </w:p>
        </w:tc>
        <w:tc>
          <w:tcPr/>
          <w:p>
            <w:pPr>
              <w:pStyle w:val="Compact"/>
              <w:jc w:val="left"/>
            </w:pPr>
            <w:r>
              <w:t xml:space="preserve">1 comprehensive review</w:t>
            </w:r>
          </w:p>
        </w:tc>
        <w:tc>
          <w:tcPr/>
          <w:p>
            <w:pPr>
              <w:pStyle w:val="Compact"/>
              <w:jc w:val="left"/>
            </w:pPr>
            <w:r>
              <w:t xml:space="preserve">5,200.00</w:t>
            </w:r>
          </w:p>
        </w:tc>
        <w:tc>
          <w:tcPr/>
          <w:p>
            <w:pPr>
              <w:pStyle w:val="Compact"/>
              <w:jc w:val="left"/>
            </w:pPr>
            <w:r>
              <w:t xml:space="preserve">5,200.00</w:t>
            </w:r>
          </w:p>
        </w:tc>
      </w:tr>
      <w:tr>
        <w:tc>
          <w:tcPr/>
          <w:p>
            <w:pPr>
              <w:pStyle w:val="Compact"/>
              <w:jc w:val="left"/>
            </w:pPr>
            <w:r>
              <w:t xml:space="preserve">07</w:t>
            </w:r>
          </w:p>
        </w:tc>
        <w:tc>
          <w:tcPr/>
          <w:p>
            <w:pPr>
              <w:pStyle w:val="Compact"/>
              <w:jc w:val="left"/>
            </w:pPr>
            <w:r>
              <w:t xml:space="preserve">Knowledge transfer and training sessions for internal data team (Frankfurt office)</w:t>
            </w:r>
          </w:p>
        </w:tc>
        <w:tc>
          <w:tcPr/>
          <w:p>
            <w:pPr>
              <w:pStyle w:val="Compact"/>
              <w:jc w:val="left"/>
            </w:pPr>
            <w:r>
              <w:t xml:space="preserve">8 sessions (half-day each)</w:t>
            </w:r>
          </w:p>
        </w:tc>
        <w:tc>
          <w:tcPr/>
          <w:p>
            <w:pPr>
              <w:pStyle w:val="Compact"/>
              <w:jc w:val="left"/>
            </w:pPr>
            <w:r>
              <w:t xml:space="preserve">1,800.00 / session</w:t>
            </w:r>
          </w:p>
        </w:tc>
        <w:tc>
          <w:tcPr/>
          <w:p>
            <w:pPr>
              <w:pStyle w:val="Compact"/>
              <w:jc w:val="left"/>
            </w:pPr>
            <w:r>
              <w:t xml:space="preserve">14,400.00</w:t>
            </w:r>
          </w:p>
        </w:tc>
      </w:tr>
      <w:tr>
        <w:tc>
          <w:tcPr/>
          <w:p>
            <w:pPr>
              <w:pStyle w:val="Compact"/>
              <w:jc w:val="left"/>
            </w:pPr>
            <w:r>
              <w:t xml:space="preserve">08</w:t>
            </w:r>
          </w:p>
        </w:tc>
        <w:tc>
          <w:tcPr/>
          <w:p>
            <w:pPr>
              <w:pStyle w:val="Compact"/>
              <w:jc w:val="left"/>
            </w:pPr>
            <w:r>
              <w:t xml:space="preserve">Travel and local accommodation allowance for Statistician (Germany Frankfurt area)</w:t>
            </w:r>
          </w:p>
        </w:tc>
        <w:tc>
          <w:tcPr/>
          <w:p>
            <w:pPr>
              <w:pStyle w:val="Compact"/>
              <w:jc w:val="left"/>
            </w:pPr>
            <w:r>
              <w:t xml:space="preserve">6 months</w:t>
            </w:r>
          </w:p>
        </w:tc>
        <w:tc>
          <w:tcPr/>
          <w:p>
            <w:pPr>
              <w:pStyle w:val="Compact"/>
              <w:jc w:val="left"/>
            </w:pPr>
            <w:r>
              <w:t xml:space="preserve">1,500.00 / month</w:t>
            </w:r>
          </w:p>
        </w:tc>
        <w:tc>
          <w:tcPr/>
          <w:p>
            <w:pPr>
              <w:pStyle w:val="Compact"/>
              <w:jc w:val="left"/>
            </w:pPr>
            <w:r>
              <w:t xml:space="preserve">9,000.00</w:t>
            </w:r>
          </w:p>
        </w:tc>
      </w:tr>
      <w:tr>
        <w:tc>
          <w:tcPr>
            <w:gridSpan w:val="4"/>
          </w:tcPr>
          <w:p>
            <w:pPr>
              <w:pStyle w:val="Compact"/>
              <w:jc w:val="left"/>
            </w:pPr>
            <w:r>
              <w:t xml:space="preserve">Subtotal</w:t>
            </w:r>
          </w:p>
        </w:tc>
        <w:tc>
          <w:tcPr/>
          <w:p>
            <w:pPr>
              <w:pStyle w:val="Compact"/>
              <w:jc w:val="left"/>
            </w:pPr>
            <w:r>
              <w:t xml:space="preserve">222,300.00</w:t>
            </w:r>
          </w:p>
        </w:tc>
      </w:tr>
      <w:tr>
        <w:tc>
          <w:tcPr>
            <w:gridSpan w:val="4"/>
          </w:tcPr>
          <w:p>
            <w:pPr>
              <w:pStyle w:val="Compact"/>
              <w:jc w:val="left"/>
            </w:pPr>
            <w:r>
              <w:t xml:space="preserve">VAT (19% – German standard rate)</w:t>
            </w:r>
          </w:p>
        </w:tc>
        <w:tc>
          <w:tcPr/>
          <w:p>
            <w:pPr>
              <w:pStyle w:val="Compact"/>
              <w:jc w:val="left"/>
            </w:pPr>
            <w:r>
              <w:t xml:space="preserve">42,237.00</w:t>
            </w:r>
          </w:p>
        </w:tc>
      </w:tr>
      <w:tr>
        <w:tc>
          <w:tcPr>
            <w:gridSpan w:val="4"/>
          </w:tcPr>
          <w:p>
            <w:pPr>
              <w:pStyle w:val="Compact"/>
              <w:jc w:val="left"/>
            </w:pPr>
            <w:r>
              <w:rPr>
                <w:bCs/>
                <w:b/>
              </w:rPr>
              <w:t xml:space="preserve">Total Quotation Estimate Amount (EUR)</w:t>
            </w:r>
          </w:p>
        </w:tc>
        <w:tc>
          <w:tcPr/>
          <w:p>
            <w:pPr>
              <w:pStyle w:val="Compact"/>
              <w:jc w:val="left"/>
            </w:pPr>
            <w:r>
              <w:rPr>
                <w:bCs/>
                <w:b/>
              </w:rPr>
              <w:t xml:space="preserve">264,537.00</w:t>
            </w:r>
          </w:p>
        </w:tc>
      </w:tr>
    </w:tbl>
    <w:p>
      <w:pPr>
        <w:pStyle w:val="BodyText"/>
      </w:pPr>
      <w:r>
        <w:t xml:space="preserve">Terms and Conditions</w:t>
      </w:r>
    </w:p>
    <w:p>
      <w:pPr>
        <w:pStyle w:val="BodyText"/>
      </w:pPr>
      <w:r>
        <w:rPr>
          <w:bCs/>
          <w:b/>
        </w:rPr>
        <w:t xml:space="preserve">1.</w:t>
      </w:r>
      <w:r>
        <w:t xml:space="preserve"> </w:t>
      </w:r>
      <w:r>
        <w:t xml:space="preserve">This Quotation Estimate is valid for thirty (30) calendar days from the date of issue. After the expiry date, all rates and the total Quotation Estimate amount are subject to revision based on prevailing market conditions in Germany Frankfurt.</w:t>
      </w:r>
    </w:p>
    <w:p>
      <w:pPr>
        <w:pStyle w:val="BodyText"/>
      </w:pPr>
      <w:r>
        <w:rPr>
          <w:bCs/>
          <w:b/>
        </w:rPr>
        <w:t xml:space="preserve">2.</w:t>
      </w:r>
      <w:r>
        <w:t xml:space="preserve"> </w:t>
      </w:r>
      <w:r>
        <w:t xml:space="preserve">The Statistician engagement shall commence no earlier than 15 July 2025, subject to mutual written confirmation by both parties. The Statistician will be physically present at the client's premises in Germany Frankfurt for the duration of the contract.</w:t>
      </w:r>
    </w:p>
    <w:p>
      <w:pPr>
        <w:pStyle w:val="BodyText"/>
      </w:pPr>
      <w:r>
        <w:rPr>
          <w:bCs/>
          <w:b/>
        </w:rPr>
        <w:t xml:space="preserve">3.</w:t>
      </w:r>
      <w:r>
        <w:t xml:space="preserve"> </w:t>
      </w:r>
      <w:r>
        <w:t xml:space="preserve">Payment terms: 40% advance payment upon contract signing, 30% upon completion of the third month of the Statistician's deployment, and the remaining 30% upon final project delivery and acceptance. All payments shall be made via bank transfer to the account specified on the invoice.</w:t>
      </w:r>
    </w:p>
    <w:p>
      <w:pPr>
        <w:pStyle w:val="BodyText"/>
      </w:pPr>
      <w:r>
        <w:rPr>
          <w:bCs/>
          <w:b/>
        </w:rPr>
        <w:t xml:space="preserve">4.</w:t>
      </w:r>
      <w:r>
        <w:t xml:space="preserve"> </w:t>
      </w:r>
      <w:r>
        <w:t xml:space="preserve">The Statistician is bound by a strict confidentiality agreement (NDA) covering all proprietary data, trade secrets, and operational information encountered during the engagement in Germany Frankfurt. This obligation survives the termination of the contract for a period of five (5) years.</w:t>
      </w:r>
    </w:p>
    <w:p>
      <w:pPr>
        <w:pStyle w:val="BodyText"/>
      </w:pPr>
      <w:r>
        <w:rPr>
          <w:bCs/>
          <w:b/>
        </w:rPr>
        <w:t xml:space="preserve">5.</w:t>
      </w:r>
      <w:r>
        <w:t xml:space="preserve"> </w:t>
      </w:r>
      <w:r>
        <w:t xml:space="preserve">Any additional services beyond the scope defined in this Quotation Estimate will be subject to a separate written amendment and additional cost approval by the client.</w:t>
      </w:r>
    </w:p>
    <w:p>
      <w:pPr>
        <w:pStyle w:val="BodyText"/>
      </w:pPr>
      <w:r>
        <w:rPr>
          <w:bCs/>
          <w:b/>
        </w:rPr>
        <w:t xml:space="preserve">6.</w:t>
      </w:r>
      <w:r>
        <w:t xml:space="preserve"> </w:t>
      </w:r>
      <w:r>
        <w:t xml:space="preserve">This Quotation Estimate is governed by the laws of the Federal Republic of Germany. Any disputes arising from this engagement shall be resolved by the competent courts in Frankfurt am Main, Germany.</w:t>
      </w:r>
    </w:p>
    <w:p>
      <w:pPr>
        <w:pStyle w:val="BodyText"/>
      </w:pPr>
      <w:r>
        <w:rPr>
          <w:bCs/>
          <w:b/>
        </w:rPr>
        <w:t xml:space="preserve">7.</w:t>
      </w:r>
      <w:r>
        <w:t xml:space="preserve"> </w:t>
      </w:r>
      <w:r>
        <w:t xml:space="preserve">The Statistician shall comply with all applicable German labour regulations, data protection laws (DSGVO), and industry-specific standards relevant to statistical analysis and data processing in Germany Frankfurt.</w:t>
      </w:r>
    </w:p>
    <w:p>
      <w:pPr>
        <w:pStyle w:val="BodyText"/>
      </w:pPr>
      <w:r>
        <w:rPr>
          <w:bCs/>
          <w:b/>
        </w:rPr>
        <w:t xml:space="preserve">For Quantum Analytics Consulting GmbH</w:t>
      </w:r>
      <w:r>
        <w:br/>
      </w:r>
      <w:r>
        <w:t xml:space="preserve">Name: Dr. Elena Fischer, Managing Director</w:t>
      </w:r>
      <w:r>
        <w:br/>
      </w:r>
      <w:r>
        <w:t xml:space="preserve">Signature &amp; Date: ___________________________</w:t>
      </w:r>
    </w:p>
    <w:p>
      <w:pPr>
        <w:pStyle w:val="BodyText"/>
      </w:pPr>
      <w:r>
        <w:rPr>
          <w:bCs/>
          <w:b/>
        </w:rPr>
        <w:t xml:space="preserve">For Rhein-Main Industrial Group AG (Client)</w:t>
      </w:r>
      <w:r>
        <w:br/>
      </w:r>
      <w:r>
        <w:t xml:space="preserve">Name: Dr. Markus Weber, Head of Operations</w:t>
      </w:r>
      <w:r>
        <w:br/>
      </w:r>
      <w:r>
        <w:t xml:space="preserve">Signature &amp; Date: ___________________________</w:t>
      </w:r>
    </w:p>
    <w:p>
      <w:pPr>
        <w:pStyle w:val="BodyText"/>
      </w:pPr>
      <w:r>
        <w:t xml:space="preserve">This Quotation Estimate document (Ref: QE-2025-FRA-0047) was prepared specifically for the Statistician services engagement in Germany Frankfurt. All figures are stated in Euro (EUR) and include applicable German VAT where indicated. Quantum Analytics Consulting GmbH – Mainzer Landstraße 145, 60329 Frankfurt am Main, Germany. IBAN: DE89 3704 0044 0532 0130 00 | BIC: COBADEFFXXX</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Statistician Services - Germany Frankfurt</dc:title>
  <dc:creator/>
  <dc:language>en</dc:language>
  <cp:keywords/>
  <dcterms:created xsi:type="dcterms:W3CDTF">2026-10-10T03:20:56Z</dcterms:created>
  <dcterms:modified xsi:type="dcterms:W3CDTF">2026-10-10T03:20:56Z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