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Iraq</w:t>
      </w:r>
      <w:r>
        <w:t xml:space="preserve"> </w:t>
      </w:r>
      <w:r>
        <w:t xml:space="preserve">Baghdad</w:t>
      </w:r>
    </w:p>
    <w:bookmarkStart w:id="21" w:name="quotation-estimate"/>
    <w:p>
      <w:pPr>
        <w:pStyle w:val="Heading1"/>
      </w:pPr>
      <w:r>
        <w:t xml:space="preserve">QUOTATION ESTIMATE</w:t>
      </w:r>
    </w:p>
    <w:bookmarkStart w:id="20" w:name="professional-statistician-services"/>
    <w:p>
      <w:pPr>
        <w:pStyle w:val="Heading2"/>
      </w:pPr>
      <w:r>
        <w:t xml:space="preserve">Professional Statistician Services</w:t>
      </w:r>
    </w:p>
    <w:p>
      <w:pPr>
        <w:pStyle w:val="FirstParagraph"/>
      </w:pPr>
      <w:r>
        <w:t xml:space="preserve">Prepared for: Iraq Baghdad Region</w:t>
      </w:r>
    </w:p>
    <w:p>
      <w:pPr>
        <w:pStyle w:val="BodyText"/>
      </w:pPr>
      <w:r>
        <w:t xml:space="preserve">Quotation Reference No: QTE-IRQ-BGD-2025-0047</w:t>
      </w:r>
    </w:p>
    <w:p>
      <w:pPr>
        <w:pStyle w:val="BodyText"/>
      </w:pPr>
      <w:r>
        <w:t xml:space="preserve">Date of Issue: 15 June 2025</w:t>
      </w:r>
    </w:p>
    <w:p>
      <w:pPr>
        <w:pStyle w:val="BodyText"/>
      </w:pPr>
      <w:r>
        <w:t xml:space="preserve">Validity Period: 30 Calendar Days from Date of Issue</w:t>
      </w:r>
    </w:p>
    <w:p>
      <w:pPr>
        <w:pStyle w:val="BodyText"/>
      </w:pPr>
      <w:r>
        <w:t xml:space="preserve">Official Estimate</w:t>
      </w:r>
    </w:p>
    <w:bookmarkEnd w:id="20"/>
    <w:bookmarkEnd w:id="21"/>
    <w:bookmarkStart w:id="22" w:name="service-provider"/>
    <w:p>
      <w:pPr>
        <w:pStyle w:val="Heading4"/>
      </w:pPr>
      <w:r>
        <w:t xml:space="preserve">Service Provider</w:t>
      </w:r>
    </w:p>
    <w:p>
      <w:pPr>
        <w:pStyle w:val="FirstParagraph"/>
      </w:pPr>
      <w:r>
        <w:rPr>
          <w:bCs/>
          <w:b/>
        </w:rPr>
        <w:t xml:space="preserve">Company:</w:t>
      </w:r>
      <w:r>
        <w:t xml:space="preserve"> </w:t>
      </w:r>
      <w:r>
        <w:t xml:space="preserve">Mesopotamia Data Analytics &amp; Statistical Consulting LLC</w:t>
      </w:r>
    </w:p>
    <w:p>
      <w:pPr>
        <w:pStyle w:val="BodyText"/>
      </w:pPr>
      <w:r>
        <w:rPr>
          <w:bCs/>
          <w:b/>
        </w:rPr>
        <w:t xml:space="preserve">Address:</w:t>
      </w:r>
      <w:r>
        <w:t xml:space="preserve"> </w:t>
      </w:r>
      <w:r>
        <w:t xml:space="preserve">Al-Mansour District, Baghdad, Iraq</w:t>
      </w:r>
    </w:p>
    <w:p>
      <w:pPr>
        <w:pStyle w:val="BodyText"/>
      </w:pPr>
      <w:r>
        <w:rPr>
          <w:bCs/>
          <w:b/>
        </w:rPr>
        <w:t xml:space="preserve">Contact:</w:t>
      </w:r>
      <w:r>
        <w:t xml:space="preserve"> </w:t>
      </w:r>
      <w:r>
        <w:t xml:space="preserve">+964 770 123 4567</w:t>
      </w:r>
    </w:p>
    <w:p>
      <w:pPr>
        <w:pStyle w:val="BodyText"/>
      </w:pPr>
      <w:r>
        <w:rPr>
          <w:bCs/>
          <w:b/>
        </w:rPr>
        <w:t xml:space="preserve">Email:</w:t>
      </w:r>
      <w:r>
        <w:t xml:space="preserve"> </w:t>
      </w:r>
      <w:r>
        <w:t xml:space="preserve">estimates@mesopotamiadata.iq</w:t>
      </w:r>
    </w:p>
    <w:p>
      <w:pPr>
        <w:pStyle w:val="BodyText"/>
      </w:pPr>
      <w:r>
        <w:rPr>
          <w:bCs/>
          <w:b/>
        </w:rPr>
        <w:t xml:space="preserve">Commercial Registration:</w:t>
      </w:r>
      <w:r>
        <w:t xml:space="preserve"> </w:t>
      </w:r>
      <w:r>
        <w:t xml:space="preserve">CR-IRQ-2019-8842</w:t>
      </w:r>
    </w:p>
    <w:bookmarkEnd w:id="22"/>
    <w:bookmarkStart w:id="23" w:name="client-recipient"/>
    <w:p>
      <w:pPr>
        <w:pStyle w:val="Heading4"/>
      </w:pPr>
      <w:r>
        <w:t xml:space="preserve">Client / Recipient</w:t>
      </w:r>
    </w:p>
    <w:p>
      <w:pPr>
        <w:pStyle w:val="FirstParagraph"/>
      </w:pPr>
      <w:r>
        <w:rPr>
          <w:bCs/>
          <w:b/>
        </w:rPr>
        <w:t xml:space="preserve">Organization:</w:t>
      </w:r>
      <w:r>
        <w:t xml:space="preserve"> </w:t>
      </w:r>
      <w:r>
        <w:t xml:space="preserve">[Client Name to be Inserted]</w:t>
      </w:r>
    </w:p>
    <w:p>
      <w:pPr>
        <w:pStyle w:val="BodyText"/>
      </w:pPr>
      <w:r>
        <w:rPr>
          <w:bCs/>
          <w:b/>
        </w:rPr>
        <w:t xml:space="preserve">Location:</w:t>
      </w:r>
      <w:r>
        <w:t xml:space="preserve"> </w:t>
      </w:r>
      <w:r>
        <w:t xml:space="preserve">Baghdad, Iraq</w:t>
      </w:r>
    </w:p>
    <w:p>
      <w:pPr>
        <w:pStyle w:val="BodyText"/>
      </w:pPr>
      <w:r>
        <w:rPr>
          <w:bCs/>
          <w:b/>
        </w:rPr>
        <w:t xml:space="preserve">Project Reference:</w:t>
      </w:r>
      <w:r>
        <w:t xml:space="preserve"> </w:t>
      </w:r>
      <w:r>
        <w:t xml:space="preserve">PRC-BGD-STAT-2025-112</w:t>
      </w:r>
    </w:p>
    <w:p>
      <w:pPr>
        <w:pStyle w:val="BodyText"/>
      </w:pPr>
      <w:r>
        <w:rPr>
          <w:bCs/>
          <w:b/>
        </w:rPr>
        <w:t xml:space="preserve">Point of Contact:</w:t>
      </w:r>
      <w:r>
        <w:t xml:space="preserve"> </w:t>
      </w:r>
      <w:r>
        <w:t xml:space="preserve">[Name &amp; Title]</w:t>
      </w:r>
    </w:p>
    <w:p>
      <w:pPr>
        <w:pStyle w:val="BodyText"/>
      </w:pPr>
      <w:r>
        <w:rPr>
          <w:bCs/>
          <w:b/>
        </w:rPr>
        <w:t xml:space="preserve">Delivery Address:</w:t>
      </w:r>
      <w:r>
        <w:t xml:space="preserve"> </w:t>
      </w:r>
      <w:r>
        <w:t xml:space="preserve">Baghdad, Iraq</w:t>
      </w:r>
    </w:p>
    <w:bookmarkEnd w:id="23"/>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document is formally issued to provide a comprehensive and transparent cost breakdown for the engagement of a qualified</w:t>
      </w:r>
      <w:r>
        <w:t xml:space="preserve"> </w:t>
      </w:r>
      <w:r>
        <w:t xml:space="preserve">Statistician</w:t>
      </w:r>
      <w:r>
        <w:t xml:space="preserve"> </w:t>
      </w:r>
      <w:r>
        <w:t xml:space="preserve">to deliver specialized data analysis, modeling, and reporting services within the</w:t>
      </w:r>
      <w:r>
        <w:t xml:space="preserve"> </w:t>
      </w:r>
      <w:r>
        <w:t xml:space="preserve">Iraq Baghdad</w:t>
      </w:r>
      <w:r>
        <w:t xml:space="preserve"> </w:t>
      </w:r>
      <w:r>
        <w:t xml:space="preserve">metropolitan area and its surrounding governorates. This estimate has been prepared in accordance with the professional standards governing statistical consulting in Iraq and reflects current market rates applicable to the Baghdad region as of the date of issue.</w:t>
      </w:r>
    </w:p>
    <w:p>
      <w:pPr>
        <w:pStyle w:val="BodyText"/>
      </w:pPr>
      <w:r>
        <w:t xml:space="preserve">The</w:t>
      </w:r>
      <w:r>
        <w:t xml:space="preserve"> </w:t>
      </w:r>
      <w:r>
        <w:t xml:space="preserve">Statistician</w:t>
      </w:r>
      <w:r>
        <w:t xml:space="preserve"> </w:t>
      </w:r>
      <w:r>
        <w:t xml:space="preserve">engaged under this quotation will be responsible for designing statistical frameworks, conducting rigorous quantitative analyses, developing predictive models, and producing actionable insights tailored to the specific operational and research needs of the client. All services will be delivered on-site in</w:t>
      </w:r>
      <w:r>
        <w:t xml:space="preserve"> </w:t>
      </w:r>
      <w:r>
        <w:t xml:space="preserve">Iraq Baghdad</w:t>
      </w:r>
      <w:r>
        <w:t xml:space="preserve"> </w:t>
      </w:r>
      <w:r>
        <w:t xml:space="preserve">or via secure remote channels as mutually agreed upon, ensuring full compliance with Iraqi data protection regulations and organizational security protocols.</w:t>
      </w:r>
    </w:p>
    <w:p>
      <w:pPr>
        <w:pStyle w:val="BodyText"/>
      </w:pPr>
      <w:r>
        <w:t xml:space="preserve">2. Detailed Cost Breakdown – Statistician Services in Iraq Baghdad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Initial consultation and statistical requirements assessment in Baghdad, Iraq</w:t>
            </w:r>
          </w:p>
        </w:tc>
        <w:tc>
          <w:tcPr/>
          <w:p>
            <w:pPr>
              <w:pStyle w:val="Compact"/>
              <w:jc w:val="left"/>
            </w:pPr>
            <w:r>
              <w:t xml:space="preserve">2 days</w:t>
            </w:r>
          </w:p>
        </w:tc>
        <w:tc>
          <w:tcPr/>
          <w:p>
            <w:pPr>
              <w:pStyle w:val="Compact"/>
              <w:jc w:val="left"/>
            </w:pPr>
            <w:r>
              <w:t xml:space="preserve">$850.00</w:t>
            </w:r>
          </w:p>
        </w:tc>
        <w:tc>
          <w:tcPr/>
          <w:p>
            <w:pPr>
              <w:pStyle w:val="Compact"/>
              <w:jc w:val="left"/>
            </w:pPr>
            <w:r>
              <w:t xml:space="preserve">$1,700.00</w:t>
            </w:r>
          </w:p>
        </w:tc>
      </w:tr>
      <w:tr>
        <w:tc>
          <w:tcPr/>
          <w:p>
            <w:pPr>
              <w:pStyle w:val="Compact"/>
              <w:jc w:val="left"/>
            </w:pPr>
            <w:r>
              <w:t xml:space="preserve">02</w:t>
            </w:r>
          </w:p>
        </w:tc>
        <w:tc>
          <w:tcPr/>
          <w:p>
            <w:pPr>
              <w:pStyle w:val="Compact"/>
              <w:jc w:val="left"/>
            </w:pPr>
            <w:r>
              <w:t xml:space="preserve">Design of statistical methodology and sampling framework for the project</w:t>
            </w:r>
          </w:p>
        </w:tc>
        <w:tc>
          <w:tcPr/>
          <w:p>
            <w:pPr>
              <w:pStyle w:val="Compact"/>
              <w:jc w:val="left"/>
            </w:pPr>
            <w:r>
              <w:t xml:space="preserve">5 days</w:t>
            </w:r>
          </w:p>
        </w:tc>
        <w:tc>
          <w:tcPr/>
          <w:p>
            <w:pPr>
              <w:pStyle w:val="Compact"/>
              <w:jc w:val="left"/>
            </w:pPr>
            <w:r>
              <w:t xml:space="preserve">$750.00</w:t>
            </w:r>
          </w:p>
        </w:tc>
        <w:tc>
          <w:tcPr/>
          <w:p>
            <w:pPr>
              <w:pStyle w:val="Compact"/>
              <w:jc w:val="left"/>
            </w:pPr>
            <w:r>
              <w:t xml:space="preserve">$3,750.00</w:t>
            </w:r>
          </w:p>
        </w:tc>
      </w:tr>
      <w:tr>
        <w:tc>
          <w:tcPr/>
          <w:p>
            <w:pPr>
              <w:pStyle w:val="Compact"/>
              <w:jc w:val="left"/>
            </w:pPr>
            <w:r>
              <w:t xml:space="preserve">03</w:t>
            </w:r>
          </w:p>
        </w:tc>
        <w:tc>
          <w:tcPr/>
          <w:p>
            <w:pPr>
              <w:pStyle w:val="Compact"/>
              <w:jc w:val="left"/>
            </w:pPr>
            <w:r>
              <w:t xml:space="preserve">Data collection supervision and quality assurance across Baghdad districts</w:t>
            </w:r>
          </w:p>
        </w:tc>
        <w:tc>
          <w:tcPr/>
          <w:p>
            <w:pPr>
              <w:pStyle w:val="Compact"/>
              <w:jc w:val="left"/>
            </w:pPr>
            <w:r>
              <w:t xml:space="preserve">10 days</w:t>
            </w:r>
          </w:p>
        </w:tc>
        <w:tc>
          <w:tcPr/>
          <w:p>
            <w:pPr>
              <w:pStyle w:val="Compact"/>
              <w:jc w:val="left"/>
            </w:pPr>
            <w:r>
              <w:t xml:space="preserve">$700.00</w:t>
            </w:r>
          </w:p>
        </w:tc>
        <w:tc>
          <w:tcPr/>
          <w:p>
            <w:pPr>
              <w:pStyle w:val="Compact"/>
              <w:jc w:val="left"/>
            </w:pPr>
            <w:r>
              <w:t xml:space="preserve">$7,000.00</w:t>
            </w:r>
          </w:p>
        </w:tc>
      </w:tr>
      <w:tr>
        <w:tc>
          <w:tcPr/>
          <w:p>
            <w:pPr>
              <w:pStyle w:val="Compact"/>
              <w:jc w:val="left"/>
            </w:pPr>
            <w:r>
              <w:t xml:space="preserve">04</w:t>
            </w:r>
          </w:p>
        </w:tc>
        <w:tc>
          <w:tcPr/>
          <w:p>
            <w:pPr>
              <w:pStyle w:val="Compact"/>
              <w:jc w:val="left"/>
            </w:pPr>
            <w:r>
              <w:t xml:space="preserve">Advanced statistical analysis (regression, ANOVA, Bayesian modeling, time-series forecasting)</w:t>
            </w:r>
          </w:p>
        </w:tc>
        <w:tc>
          <w:tcPr/>
          <w:p>
            <w:pPr>
              <w:pStyle w:val="Compact"/>
              <w:jc w:val="left"/>
            </w:pPr>
            <w:r>
              <w:t xml:space="preserve">15 days</w:t>
            </w:r>
          </w:p>
        </w:tc>
        <w:tc>
          <w:tcPr/>
          <w:p>
            <w:pPr>
              <w:pStyle w:val="Compact"/>
              <w:jc w:val="left"/>
            </w:pPr>
            <w:r>
              <w:t xml:space="preserve">$800.00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Development of predictive models and simulation scenarios specific to Iraq Baghdad context</w:t>
            </w:r>
          </w:p>
        </w:tc>
        <w:tc>
          <w:tcPr/>
          <w:p>
            <w:pPr>
              <w:pStyle w:val="Compact"/>
              <w:jc w:val="left"/>
            </w:pPr>
            <w:r>
              <w:t xml:space="preserve">8 days</w:t>
            </w:r>
          </w:p>
        </w:tc>
        <w:tc>
          <w:tcPr/>
          <w:p>
            <w:pPr>
              <w:pStyle w:val="Compact"/>
              <w:jc w:val="left"/>
            </w:pPr>
            <w:r>
              <w:t xml:space="preserve">$850.00</w:t>
            </w:r>
          </w:p>
        </w:tc>
        <w:tc>
          <w:tcPr/>
          <w:p>
            <w:pPr>
              <w:pStyle w:val="Compact"/>
              <w:jc w:val="left"/>
            </w:pPr>
            <w:r>
              <w:t xml:space="preserve">$6,800.00</w:t>
            </w:r>
          </w:p>
        </w:tc>
      </w:tr>
      <w:tr>
        <w:tc>
          <w:tcPr/>
          <w:p>
            <w:pPr>
              <w:pStyle w:val="Compact"/>
              <w:jc w:val="left"/>
            </w:pPr>
            <w:r>
              <w:t xml:space="preserve">06</w:t>
            </w:r>
          </w:p>
        </w:tc>
        <w:tc>
          <w:tcPr/>
          <w:p>
            <w:pPr>
              <w:pStyle w:val="Compact"/>
              <w:jc w:val="left"/>
            </w:pPr>
            <w:r>
              <w:t xml:space="preserve">Preparation of comprehensive statistical reports, visualizations, and executive summaries</w:t>
            </w:r>
          </w:p>
        </w:tc>
        <w:tc>
          <w:tcPr/>
          <w:p>
            <w:pPr>
              <w:pStyle w:val="Compact"/>
              <w:jc w:val="left"/>
            </w:pPr>
            <w:r>
              <w:t xml:space="preserve">5 days</w:t>
            </w:r>
          </w:p>
        </w:tc>
        <w:tc>
          <w:tcPr/>
          <w:p>
            <w:pPr>
              <w:pStyle w:val="Compact"/>
              <w:jc w:val="left"/>
            </w:pPr>
            <w:r>
              <w:t xml:space="preserve">$700.00</w:t>
            </w:r>
          </w:p>
        </w:tc>
        <w:tc>
          <w:tcPr/>
          <w:p>
            <w:pPr>
              <w:pStyle w:val="Compact"/>
              <w:jc w:val="left"/>
            </w:pPr>
            <w:r>
              <w:t xml:space="preserve">$3,500.00</w:t>
            </w:r>
          </w:p>
        </w:tc>
      </w:tr>
      <w:tr>
        <w:tc>
          <w:tcPr/>
          <w:p>
            <w:pPr>
              <w:pStyle w:val="Compact"/>
              <w:jc w:val="left"/>
            </w:pPr>
            <w:r>
              <w:t xml:space="preserve">07</w:t>
            </w:r>
          </w:p>
        </w:tc>
        <w:tc>
          <w:tcPr/>
          <w:p>
            <w:pPr>
              <w:pStyle w:val="Compact"/>
              <w:jc w:val="left"/>
            </w:pPr>
            <w:r>
              <w:t xml:space="preserve">On-site presentation and stakeholder briefing in Baghdad, Iraq</w:t>
            </w:r>
          </w:p>
        </w:tc>
        <w:tc>
          <w:tcPr/>
          <w:p>
            <w:pPr>
              <w:pStyle w:val="Compact"/>
              <w:jc w:val="left"/>
            </w:pPr>
            <w:r>
              <w:t xml:space="preserve">2 days</w:t>
            </w:r>
          </w:p>
        </w:tc>
        <w:tc>
          <w:tcPr/>
          <w:p>
            <w:pPr>
              <w:pStyle w:val="Compact"/>
              <w:jc w:val="left"/>
            </w:pPr>
            <w:r>
              <w:t xml:space="preserve">$900.00</w:t>
            </w:r>
          </w:p>
        </w:tc>
        <w:tc>
          <w:tcPr/>
          <w:p>
            <w:pPr>
              <w:pStyle w:val="Compact"/>
              <w:jc w:val="left"/>
            </w:pPr>
            <w:r>
              <w:t xml:space="preserve">$1,800.00</w:t>
            </w:r>
          </w:p>
        </w:tc>
      </w:tr>
      <w:tr>
        <w:tc>
          <w:tcPr/>
          <w:p>
            <w:pPr>
              <w:pStyle w:val="Compact"/>
              <w:jc w:val="left"/>
            </w:pPr>
            <w:r>
              <w:t xml:space="preserve">08</w:t>
            </w:r>
          </w:p>
        </w:tc>
        <w:tc>
          <w:tcPr/>
          <w:p>
            <w:pPr>
              <w:pStyle w:val="Compact"/>
              <w:jc w:val="left"/>
            </w:pPr>
            <w:r>
              <w:t xml:space="preserve">Post-delivery support, model calibration, and Q&amp;A period</w:t>
            </w:r>
          </w:p>
        </w:tc>
        <w:tc>
          <w:tcPr/>
          <w:p>
            <w:pPr>
              <w:pStyle w:val="Compact"/>
              <w:jc w:val="left"/>
            </w:pPr>
            <w:r>
              <w:t xml:space="preserve">5 days</w:t>
            </w:r>
          </w:p>
        </w:tc>
        <w:tc>
          <w:tcPr/>
          <w:p>
            <w:pPr>
              <w:pStyle w:val="Compact"/>
              <w:jc w:val="left"/>
            </w:pPr>
            <w:r>
              <w:t xml:space="preserve">$650.00</w:t>
            </w:r>
          </w:p>
        </w:tc>
        <w:tc>
          <w:tcPr/>
          <w:p>
            <w:pPr>
              <w:pStyle w:val="Compact"/>
              <w:jc w:val="left"/>
            </w:pPr>
            <w:r>
              <w:t xml:space="preserve">$3,250.00</w:t>
            </w:r>
          </w:p>
        </w:tc>
      </w:tr>
      <w:tr>
        <w:tc>
          <w:tcPr/>
          <w:p>
            <w:pPr>
              <w:pStyle w:val="Compact"/>
              <w:jc w:val="left"/>
            </w:pPr>
            <w:r>
              <w:t xml:space="preserve">09</w:t>
            </w:r>
          </w:p>
        </w:tc>
        <w:tc>
          <w:tcPr/>
          <w:p>
            <w:pPr>
              <w:pStyle w:val="Compact"/>
              <w:jc w:val="left"/>
            </w:pPr>
            <w:r>
              <w:t xml:space="preserve">Software licensing (SPSS, R, Python, SAS) and computational resources</w:t>
            </w:r>
          </w:p>
        </w:tc>
        <w:tc>
          <w:tcPr/>
          <w:p>
            <w:pPr>
              <w:pStyle w:val="Compact"/>
              <w:jc w:val="left"/>
            </w:pPr>
            <w:r>
              <w:t xml:space="preserve">1 project</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10</w:t>
            </w:r>
          </w:p>
        </w:tc>
        <w:tc>
          <w:tcPr/>
          <w:p>
            <w:pPr>
              <w:pStyle w:val="Compact"/>
              <w:jc w:val="left"/>
            </w:pPr>
            <w:r>
              <w:t xml:space="preserve">Travel, accommodation, and local logistics within Iraq Baghdad</w:t>
            </w:r>
          </w:p>
        </w:tc>
        <w:tc>
          <w:tcPr/>
          <w:p>
            <w:pPr>
              <w:pStyle w:val="Compact"/>
              <w:jc w:val="left"/>
            </w:pPr>
            <w:r>
              <w:t xml:space="preserve">1 project</w:t>
            </w:r>
          </w:p>
        </w:tc>
        <w:tc>
          <w:tcPr/>
          <w:p>
            <w:pPr>
              <w:pStyle w:val="Compact"/>
              <w:jc w:val="left"/>
            </w:pPr>
            <w:r>
              <w:t xml:space="preserve">$1,800.00</w:t>
            </w:r>
          </w:p>
        </w:tc>
        <w:tc>
          <w:tcPr/>
          <w:p>
            <w:pPr>
              <w:pStyle w:val="Compact"/>
              <w:jc w:val="left"/>
            </w:pPr>
            <w:r>
              <w:t xml:space="preserve">$1,800.00</w:t>
            </w:r>
          </w:p>
        </w:tc>
      </w:tr>
      <w:tr>
        <w:tc>
          <w:tcPr>
            <w:gridSpan w:val="4"/>
          </w:tcPr>
          <w:p>
            <w:pPr>
              <w:pStyle w:val="Compact"/>
              <w:jc w:val="left"/>
            </w:pPr>
            <w:r>
              <w:t xml:space="preserve">TOTAL ESTIMATED COST (Before Applicable Taxes)</w:t>
            </w:r>
          </w:p>
        </w:tc>
        <w:tc>
          <w:tcPr/>
          <w:p>
            <w:pPr>
              <w:pStyle w:val="Compact"/>
              <w:jc w:val="left"/>
            </w:pPr>
            <w:r>
              <w:t xml:space="preserve">$44,100.00</w:t>
            </w:r>
          </w:p>
        </w:tc>
      </w:tr>
      <w:tr>
        <w:tc>
          <w:tcPr>
            <w:gridSpan w:val="4"/>
          </w:tcPr>
          <w:p>
            <w:pPr>
              <w:pStyle w:val="Compact"/>
              <w:jc w:val="left"/>
            </w:pPr>
            <w:r>
              <w:t xml:space="preserve">VAT / Applicable Iraqi Tax (5%)</w:t>
            </w:r>
          </w:p>
        </w:tc>
        <w:tc>
          <w:tcPr/>
          <w:p>
            <w:pPr>
              <w:pStyle w:val="Compact"/>
              <w:jc w:val="left"/>
            </w:pPr>
            <w:r>
              <w:t xml:space="preserve">$2,205.00</w:t>
            </w:r>
          </w:p>
        </w:tc>
      </w:tr>
      <w:tr>
        <w:tc>
          <w:tcPr>
            <w:gridSpan w:val="4"/>
          </w:tcPr>
          <w:p>
            <w:pPr>
              <w:pStyle w:val="Compact"/>
              <w:jc w:val="left"/>
            </w:pPr>
            <w:r>
              <w:t xml:space="preserve">GRAND TOTAL (Incl. Tax)</w:t>
            </w:r>
          </w:p>
        </w:tc>
        <w:tc>
          <w:tcPr/>
          <w:p>
            <w:pPr>
              <w:pStyle w:val="Compact"/>
              <w:jc w:val="left"/>
            </w:pPr>
            <w:r>
              <w:t xml:space="preserve">$46,305.00</w:t>
            </w:r>
          </w:p>
        </w:tc>
      </w:tr>
    </w:tbl>
    <w:p>
      <w:pPr>
        <w:pStyle w:val="BodyText"/>
      </w:pPr>
      <w:r>
        <w:t xml:space="preserve">3. Statistician Qualifications and Professional Standards</w:t>
      </w:r>
    </w:p>
    <w:p>
      <w:pPr>
        <w:pStyle w:val="BodyText"/>
      </w:pPr>
      <w:r>
        <w:t xml:space="preserve">The</w:t>
      </w:r>
      <w:r>
        <w:t xml:space="preserve"> </w:t>
      </w:r>
      <w:r>
        <w:t xml:space="preserve">Statistician</w:t>
      </w:r>
      <w:r>
        <w:t xml:space="preserve"> </w:t>
      </w:r>
      <w:r>
        <w:t xml:space="preserve">assigned to this engagement in</w:t>
      </w:r>
      <w:r>
        <w:t xml:space="preserve"> </w:t>
      </w:r>
      <w:r>
        <w:t xml:space="preserve">Iraq Baghdad</w:t>
      </w:r>
      <w:r>
        <w:t xml:space="preserve"> </w:t>
      </w:r>
      <w:r>
        <w:t xml:space="preserve">shall hold a minimum of a Master's degree in Statistics, Applied Mathematics, or a closely related quantitative discipline from an accredited institution. The professional must possess a minimum of eight (8) years of progressive experience in statistical consulting, with at least three (3) years of direct experience working on projects within Iraq or the broader Middle East region. Fluency in both Arabic and English is mandatory to ensure seamless communication with local stakeholders, government bodies, and international partners operating in Baghdad.</w:t>
      </w:r>
    </w:p>
    <w:p>
      <w:pPr>
        <w:pStyle w:val="BodyText"/>
      </w:pPr>
      <w:r>
        <w:t xml:space="preserve">The Statistician will adhere to the ethical guidelines established by the American Statistical Association (ASA) and the Royal Statistical Society (RSS), while also complying with all applicable Iraqi federal regulations regarding data handling, confidentiality, and professional conduct. All analytical outputs will be peer-reviewed internally before final delivery to the client.</w:t>
      </w:r>
    </w:p>
    <w:p>
      <w:pPr>
        <w:pStyle w:val="BodyText"/>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request for services beyond this period will require a revised estimate reflecting current market conditions in Iraq Baghdad.</w:t>
      </w:r>
    </w:p>
    <w:p>
      <w:pPr>
        <w:numPr>
          <w:ilvl w:val="0"/>
          <w:numId w:val="1001"/>
        </w:numPr>
        <w:pStyle w:val="Compact"/>
      </w:pPr>
      <w:r>
        <w:t xml:space="preserve">Payment terms: 30% advance payment upon acceptance of this quotation, 40% upon completion of the data analysis phase, and 30% upon final delivery and acceptance of all deliverables in Baghdad, Iraq.</w:t>
      </w:r>
    </w:p>
    <w:p>
      <w:pPr>
        <w:numPr>
          <w:ilvl w:val="0"/>
          <w:numId w:val="1001"/>
        </w:numPr>
        <w:pStyle w:val="Compact"/>
      </w:pPr>
      <w:r>
        <w:t xml:space="preserve">All prices are quoted in United States Dollars (USD). Currency conversion, if applicable, will be based on the Central Bank of Iraq (CBI) exchange rate on the date of invoicing.</w:t>
      </w:r>
    </w:p>
    <w:p>
      <w:pPr>
        <w:numPr>
          <w:ilvl w:val="0"/>
          <w:numId w:val="1001"/>
        </w:numPr>
        <w:pStyle w:val="Compact"/>
      </w:pPr>
      <w:r>
        <w:t xml:space="preserve">The Statistician shall maintain full professional confidentiality regarding all data, methodologies, and findings. A Non-Disclosure Agreement (NDA) will be executed prior to the commencement of work in Iraq Baghdad.</w:t>
      </w:r>
    </w:p>
    <w:p>
      <w:pPr>
        <w:numPr>
          <w:ilvl w:val="0"/>
          <w:numId w:val="1001"/>
        </w:numPr>
        <w:pStyle w:val="Compact"/>
      </w:pPr>
      <w:r>
        <w:t xml:space="preserve">Any scope changes or additional statistical analyses requested by the client beyond the original project charter will be subject to a supplementary Quotation Estimate issued within five (5) business days.</w:t>
      </w:r>
    </w:p>
    <w:p>
      <w:pPr>
        <w:numPr>
          <w:ilvl w:val="0"/>
          <w:numId w:val="1001"/>
        </w:numPr>
        <w:pStyle w:val="Compact"/>
      </w:pPr>
      <w:r>
        <w:t xml:space="preserve">Force majeure events, including but not limited to security disruptions, governmental restrictions, or natural occurrences affecting the Baghdad region, may result in schedule adjustments. Both parties will negotiate in good faith to minimize project impact.</w:t>
      </w:r>
    </w:p>
    <w:p>
      <w:pPr>
        <w:numPr>
          <w:ilvl w:val="0"/>
          <w:numId w:val="1001"/>
        </w:numPr>
        <w:pStyle w:val="Compact"/>
      </w:pPr>
      <w:r>
        <w:t xml:space="preserve">Intellectual property rights for all statistical models, code, and reports developed under this engagement shall vest in the client upon full payment, unless otherwise specified in a separate agreement.</w:t>
      </w:r>
    </w:p>
    <w:p>
      <w:pPr>
        <w:numPr>
          <w:ilvl w:val="0"/>
          <w:numId w:val="1001"/>
        </w:numPr>
        <w:pStyle w:val="Compact"/>
      </w:pPr>
      <w:r>
        <w:t xml:space="preserve">This Quotation Estimate does not constitute a binding contract until formally accepted in writing by both parties and countersigned by authorized representatives.</w:t>
      </w:r>
    </w:p>
    <w:p>
      <w:pPr>
        <w:pStyle w:val="FirstParagraph"/>
      </w:pPr>
      <w:r>
        <w:t xml:space="preserve">5. Delivery Schedule and Milestones – Iraq Baghdad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Completion</w:t>
            </w:r>
          </w:p>
        </w:tc>
        <w:tc>
          <w:tcPr/>
          <w:p>
            <w:pPr>
              <w:pStyle w:val="Compact"/>
              <w:jc w:val="left"/>
            </w:pPr>
            <w:r>
              <w:t xml:space="preserve">Deliverable</w:t>
            </w:r>
          </w:p>
        </w:tc>
      </w:tr>
      <w:tr>
        <w:tc>
          <w:tcPr/>
          <w:p>
            <w:pPr>
              <w:pStyle w:val="Compact"/>
              <w:jc w:val="left"/>
            </w:pPr>
            <w:r>
              <w:t xml:space="preserve">Project Kick-off &amp; Requirements Finalization</w:t>
            </w:r>
          </w:p>
        </w:tc>
        <w:tc>
          <w:tcPr/>
          <w:p>
            <w:pPr>
              <w:pStyle w:val="Compact"/>
              <w:jc w:val="left"/>
            </w:pPr>
            <w:r>
              <w:t xml:space="preserve">Week 1</w:t>
            </w:r>
          </w:p>
        </w:tc>
        <w:tc>
          <w:tcPr/>
          <w:p>
            <w:pPr>
              <w:pStyle w:val="Compact"/>
              <w:jc w:val="left"/>
            </w:pPr>
            <w:r>
              <w:t xml:space="preserve">Approved Statistical Work Plan</w:t>
            </w:r>
          </w:p>
        </w:tc>
      </w:tr>
      <w:tr>
        <w:tc>
          <w:tcPr/>
          <w:p>
            <w:pPr>
              <w:pStyle w:val="Compact"/>
              <w:jc w:val="left"/>
            </w:pPr>
            <w:r>
              <w:t xml:space="preserve">Methodology Design &amp; Sampling Framework</w:t>
            </w:r>
          </w:p>
        </w:tc>
        <w:tc>
          <w:tcPr/>
          <w:p>
            <w:pPr>
              <w:pStyle w:val="Compact"/>
              <w:jc w:val="left"/>
            </w:pPr>
            <w:r>
              <w:t xml:space="preserve">Week 2</w:t>
            </w:r>
          </w:p>
        </w:tc>
        <w:tc>
          <w:tcPr/>
          <w:p>
            <w:pPr>
              <w:pStyle w:val="Compact"/>
              <w:jc w:val="left"/>
            </w:pPr>
            <w:r>
              <w:t xml:space="preserve">Methodology Document</w:t>
            </w:r>
          </w:p>
        </w:tc>
      </w:tr>
      <w:tr>
        <w:tc>
          <w:tcPr/>
          <w:p>
            <w:pPr>
              <w:pStyle w:val="Compact"/>
              <w:jc w:val="left"/>
            </w:pPr>
            <w:r>
              <w:t xml:space="preserve">Data Collection &amp; Quality Assurance</w:t>
            </w:r>
          </w:p>
        </w:tc>
        <w:tc>
          <w:tcPr/>
          <w:p>
            <w:pPr>
              <w:pStyle w:val="Compact"/>
              <w:jc w:val="left"/>
            </w:pPr>
            <w:r>
              <w:t xml:space="preserve">Weeks 3–4</w:t>
            </w:r>
          </w:p>
        </w:tc>
        <w:tc>
          <w:tcPr/>
          <w:p>
            <w:pPr>
              <w:pStyle w:val="Compact"/>
              <w:jc w:val="left"/>
            </w:pPr>
            <w:r>
              <w:t xml:space="preserve">Validated Dataset</w:t>
            </w:r>
          </w:p>
        </w:tc>
      </w:tr>
      <w:tr>
        <w:tc>
          <w:tcPr/>
          <w:p>
            <w:pPr>
              <w:pStyle w:val="Compact"/>
              <w:jc w:val="left"/>
            </w:pPr>
            <w:r>
              <w:t xml:space="preserve">Statistical Analysis &amp; Model Development</w:t>
            </w:r>
          </w:p>
        </w:tc>
        <w:tc>
          <w:tcPr/>
          <w:p>
            <w:pPr>
              <w:pStyle w:val="Compact"/>
              <w:jc w:val="left"/>
            </w:pPr>
            <w:r>
              <w:t xml:space="preserve">Weeks 5–7</w:t>
            </w:r>
          </w:p>
        </w:tc>
        <w:tc>
          <w:tcPr/>
          <w:p>
            <w:pPr>
              <w:pStyle w:val="Compact"/>
              <w:jc w:val="left"/>
            </w:pPr>
            <w:r>
              <w:t xml:space="preserve">Analysis Reports &amp; Models</w:t>
            </w:r>
          </w:p>
        </w:tc>
      </w:tr>
      <w:tr>
        <w:tc>
          <w:tcPr/>
          <w:p>
            <w:pPr>
              <w:pStyle w:val="Compact"/>
              <w:jc w:val="left"/>
            </w:pPr>
            <w:r>
              <w:t xml:space="preserve">Final Reporting &amp; Presentation in Baghdad</w:t>
            </w:r>
          </w:p>
        </w:tc>
        <w:tc>
          <w:tcPr/>
          <w:p>
            <w:pPr>
              <w:pStyle w:val="Compact"/>
              <w:jc w:val="left"/>
            </w:pPr>
            <w:r>
              <w:t xml:space="preserve">Week 8</w:t>
            </w:r>
          </w:p>
        </w:tc>
        <w:tc>
          <w:tcPr/>
          <w:p>
            <w:pPr>
              <w:pStyle w:val="Compact"/>
              <w:jc w:val="left"/>
            </w:pPr>
            <w:r>
              <w:t xml:space="preserve">Executive Summary &amp; Full Report</w:t>
            </w:r>
          </w:p>
        </w:tc>
      </w:tr>
      <w:tr>
        <w:tc>
          <w:tcPr/>
          <w:p>
            <w:pPr>
              <w:pStyle w:val="Compact"/>
              <w:jc w:val="left"/>
            </w:pPr>
            <w:r>
              <w:t xml:space="preserve">Post-Delivery Support Period</w:t>
            </w:r>
          </w:p>
        </w:tc>
        <w:tc>
          <w:tcPr/>
          <w:p>
            <w:pPr>
              <w:pStyle w:val="Compact"/>
              <w:jc w:val="left"/>
            </w:pPr>
            <w:r>
              <w:t xml:space="preserve">Weeks 9–10</w:t>
            </w:r>
          </w:p>
        </w:tc>
        <w:tc>
          <w:tcPr/>
          <w:p>
            <w:pPr>
              <w:pStyle w:val="Compact"/>
              <w:jc w:val="left"/>
            </w:pPr>
            <w:r>
              <w:t xml:space="preserve">Calibrated Models &amp; Q&amp;A Log</w:t>
            </w:r>
          </w:p>
        </w:tc>
      </w:tr>
    </w:tbl>
    <w:p>
      <w:pPr>
        <w:pStyle w:val="BodyText"/>
      </w:pPr>
      <w:r>
        <w:t xml:space="preserve">6. Acceptance and Authorization</w:t>
      </w:r>
    </w:p>
    <w:p>
      <w:pPr>
        <w:pStyle w:val="BodyText"/>
      </w:pPr>
      <w:r>
        <w:t xml:space="preserve">By signing below, the client acknowledges receipt and review of this</w:t>
      </w:r>
      <w:r>
        <w:t xml:space="preserve"> </w:t>
      </w:r>
      <w:r>
        <w:t xml:space="preserve">Quotation Estimate</w:t>
      </w:r>
      <w:r>
        <w:t xml:space="preserve"> </w:t>
      </w:r>
      <w:r>
        <w:t xml:space="preserve">for</w:t>
      </w:r>
      <w:r>
        <w:t xml:space="preserve"> </w:t>
      </w:r>
      <w:r>
        <w:t xml:space="preserve">Statistician</w:t>
      </w:r>
      <w:r>
        <w:t xml:space="preserve"> </w:t>
      </w:r>
      <w:r>
        <w:t xml:space="preserve">services in</w:t>
      </w:r>
      <w:r>
        <w:t xml:space="preserve"> </w:t>
      </w:r>
      <w:r>
        <w:t xml:space="preserve">Iraq Baghdad</w:t>
      </w:r>
      <w:r>
        <w:t xml:space="preserve"> </w:t>
      </w:r>
      <w:r>
        <w:t xml:space="preserve">and agrees to the terms, conditions, and cost structure outlined herein. This signature constitutes formal acceptance of the estimate and authorizes the service provider to commence work upon receipt of the advance payment.</w:t>
      </w:r>
    </w:p>
    <w:p>
      <w:pPr>
        <w:pStyle w:val="BodyText"/>
      </w:pPr>
      <w:r>
        <w:rPr>
          <w:bCs/>
          <w:b/>
        </w:rPr>
        <w:t xml:space="preserve">For the Service Provider:</w:t>
      </w:r>
    </w:p>
    <w:p>
      <w:pPr>
        <w:pStyle w:val="BodyText"/>
      </w:pPr>
      <w:r>
        <w:t xml:space="preserve">Mesopotamia Data Analytics &amp; Statistical Consulting LLC</w:t>
      </w:r>
    </w:p>
    <w:p>
      <w:pPr>
        <w:pStyle w:val="BodyText"/>
      </w:pPr>
      <w:r>
        <w:t xml:space="preserve">Authorized Signatory</w:t>
      </w:r>
      <w:r>
        <w:br/>
      </w:r>
      <w:r>
        <w:t xml:space="preserve">Name / Title / Date / Stamp</w:t>
      </w:r>
    </w:p>
    <w:p>
      <w:pPr>
        <w:pStyle w:val="BodyText"/>
      </w:pPr>
      <w:r>
        <w:rPr>
          <w:bCs/>
          <w:b/>
        </w:rPr>
        <w:t xml:space="preserve">For the Client:</w:t>
      </w:r>
    </w:p>
    <w:p>
      <w:pPr>
        <w:pStyle w:val="BodyText"/>
      </w:pPr>
      <w:r>
        <w:t xml:space="preserve">[Client Organization Name]</w:t>
      </w:r>
    </w:p>
    <w:p>
      <w:pPr>
        <w:pStyle w:val="BodyText"/>
      </w:pPr>
      <w:r>
        <w:t xml:space="preserve">Authorized Signatory</w:t>
      </w:r>
      <w:r>
        <w:br/>
      </w:r>
      <w:r>
        <w:t xml:space="preserve">Name / Title / Date / Stamp</w:t>
      </w:r>
    </w:p>
    <w:p>
      <w:pPr>
        <w:pStyle w:val="BodyText"/>
      </w:pPr>
      <w:r>
        <w:t xml:space="preserve">Document Reference: QTE-IRQ-BGD-2025-0047 | Page 1 of 1</w:t>
      </w:r>
    </w:p>
    <w:p>
      <w:pPr>
        <w:pStyle w:val="BodyText"/>
      </w:pPr>
      <w:r>
        <w:t xml:space="preserve">This Quotation Estimate was prepared exclusively for the named client and is not transferable. All statistical services referenced are to be performed in compliance with Iraqi federal law and the professional standards of the statistical community in Iraq Baghdad.</w:t>
      </w:r>
    </w:p>
    <w:p>
      <w:pPr>
        <w:pStyle w:val="BodyText"/>
      </w:pPr>
      <w:r>
        <w:t xml:space="preserve">© 2025 Mesopotamia Data Analytics &amp; Statistical Consulting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Iraq Baghdad</dc:title>
  <dc:creator/>
  <dc:language>en</dc:language>
  <cp:keywords/>
  <dcterms:created xsi:type="dcterms:W3CDTF">2026-10-10T03:38:04Z</dcterms:created>
  <dcterms:modified xsi:type="dcterms:W3CDTF">2026-10-10T03:38:04Z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