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Statistician Services — Israel Tel Aviv</w:t>
      </w:r>
    </w:p>
    <w:p>
      <w:pPr>
        <w:pStyle w:val="BodyText"/>
      </w:pPr>
      <w:r>
        <w:t xml:space="preserve">Document Reference: QTE-TLV-2025-0847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Miriam Levi, Lead Statistician</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Tel Aviv, Israel</w:t>
      </w:r>
      <w:r>
        <w:br/>
      </w:r>
      <w:r>
        <w:rPr>
          <w:bCs/>
          <w:b/>
        </w:rPr>
        <w:t xml:space="preserve">Contact:</w:t>
      </w:r>
      <w:r>
        <w:t xml:space="preserve"> </w:t>
      </w:r>
      <w:r>
        <w:t xml:space="preserve">quotations@statisticians-tlv.co.il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to provide a comprehensive and transparent financial overview for the engagement of a qualified</w:t>
      </w:r>
      <w:r>
        <w:t xml:space="preserve"> </w:t>
      </w:r>
      <w:r>
        <w:t xml:space="preserve">Statistician</w:t>
      </w:r>
      <w:r>
        <w:t xml:space="preserve"> </w:t>
      </w:r>
      <w:r>
        <w:t xml:space="preserve">to deliver advanced data analysis, modeling, and reporting services within the metropolitan area of</w:t>
      </w:r>
      <w:r>
        <w:t xml:space="preserve"> </w:t>
      </w:r>
      <w:r>
        <w:t xml:space="preserve">Israel Tel Aviv</w:t>
      </w:r>
      <w:r>
        <w:t xml:space="preserve">. The scope of work outlined herein has been tailored to meet the specific analytical requirements of the client, taking into account the regulatory, linguistic, and operational environment unique to the Tel Aviv business district and the broader Israeli market.</w:t>
      </w:r>
    </w:p>
    <w:p>
      <w:pPr>
        <w:pStyle w:val="BodyTex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operate in full compliance with the Israeli Standards Organization (SII) guidelines for statistical reporting, the Israel Bureau of Statistics (CBS) data-handling protocols, and all applicable provisions of the Israeli Privacy Protection Law (5741-1981) and its 2017 amendment. All deliverables will be produced in both Hebrew and English to ensure accessibility for local stakeholders and international partners operating in</w:t>
      </w:r>
      <w:r>
        <w:t xml:space="preserve"> </w:t>
      </w:r>
      <w:r>
        <w:t xml:space="preserve">Israel Tel Aviv</w:t>
      </w:r>
      <w:r>
        <w:t xml:space="preserve">.</w:t>
      </w:r>
    </w:p>
    <w:bookmarkEnd w:id="21"/>
    <w:bookmarkStart w:id="22" w:name="Xfa27806c632e910a2fe9e119247749cd9f5211f"/>
    <w:p>
      <w:pPr>
        <w:pStyle w:val="Heading2"/>
      </w:pPr>
      <w:r>
        <w:t xml:space="preserve">2. Detailed Breakdown of Statistician Services</w:t>
      </w:r>
    </w:p>
    <w:p>
      <w:pPr>
        <w:pStyle w:val="FirstParagraph"/>
      </w:pPr>
      <w:r>
        <w:t xml:space="preserve">The following table itemizes each component of the</w:t>
      </w:r>
      <w:r>
        <w:t xml:space="preserve"> </w:t>
      </w:r>
      <w:r>
        <w:t xml:space="preserve">Statistician</w:t>
      </w:r>
      <w:r>
        <w:t xml:space="preserve"> </w:t>
      </w:r>
      <w:r>
        <w:t xml:space="preserve">engagement as part of this</w:t>
      </w:r>
      <w:r>
        <w:t xml:space="preserve"> </w:t>
      </w:r>
      <w:r>
        <w:t xml:space="preserve">Quotation Estimate</w:t>
      </w:r>
      <w:r>
        <w:t xml:space="preserve"> </w:t>
      </w:r>
      <w:r>
        <w:t xml:space="preserve">for services rendered in</w:t>
      </w:r>
      <w:r>
        <w:t xml:space="preserve"> </w:t>
      </w:r>
      <w:r>
        <w:t xml:space="preserve">Israel Tel Aviv</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Initial consultation and project scoping session with the</w:t>
            </w:r>
            <w:r>
              <w:t xml:space="preserve"> </w:t>
            </w:r>
            <w:r>
              <w:t xml:space="preserve">Statistician</w:t>
            </w:r>
            <w:r>
              <w:t xml:space="preserve"> </w:t>
            </w:r>
            <w:r>
              <w:t xml:space="preserve">at the client's premises in Tel Aviv</w:t>
            </w:r>
          </w:p>
        </w:tc>
        <w:tc>
          <w:tcPr/>
          <w:p>
            <w:pPr>
              <w:pStyle w:val="Compact"/>
              <w:jc w:val="left"/>
            </w:pPr>
            <w:r>
              <w:t xml:space="preserve">4 hours</w:t>
            </w:r>
          </w:p>
        </w:tc>
        <w:tc>
          <w:tcPr/>
          <w:p>
            <w:pPr>
              <w:pStyle w:val="Compact"/>
              <w:jc w:val="left"/>
            </w:pPr>
            <w:r>
              <w:t xml:space="preserve">1,200</w:t>
            </w:r>
          </w:p>
        </w:tc>
        <w:tc>
          <w:tcPr/>
          <w:p>
            <w:pPr>
              <w:pStyle w:val="Compact"/>
              <w:jc w:val="left"/>
            </w:pPr>
            <w:r>
              <w:t xml:space="preserve">4,800</w:t>
            </w:r>
          </w:p>
        </w:tc>
      </w:tr>
      <w:tr>
        <w:tc>
          <w:tcPr/>
          <w:p>
            <w:pPr>
              <w:pStyle w:val="Compact"/>
              <w:jc w:val="left"/>
            </w:pPr>
            <w:r>
              <w:t xml:space="preserve">02</w:t>
            </w:r>
          </w:p>
        </w:tc>
        <w:tc>
          <w:tcPr/>
          <w:p>
            <w:pPr>
              <w:pStyle w:val="Compact"/>
              <w:jc w:val="left"/>
            </w:pPr>
            <w:r>
              <w:t xml:space="preserve">Data collection, cleaning, and preprocessing of raw datasets (up to 50,000 records)</w:t>
            </w:r>
          </w:p>
        </w:tc>
        <w:tc>
          <w:tcPr/>
          <w:p>
            <w:pPr>
              <w:pStyle w:val="Compact"/>
              <w:jc w:val="left"/>
            </w:pPr>
            <w:r>
              <w:t xml:space="preserve">10 hours</w:t>
            </w:r>
          </w:p>
        </w:tc>
        <w:tc>
          <w:tcPr/>
          <w:p>
            <w:pPr>
              <w:pStyle w:val="Compact"/>
              <w:jc w:val="left"/>
            </w:pPr>
            <w:r>
              <w:t xml:space="preserve">1,100</w:t>
            </w:r>
          </w:p>
        </w:tc>
        <w:tc>
          <w:tcPr/>
          <w:p>
            <w:pPr>
              <w:pStyle w:val="Compact"/>
              <w:jc w:val="left"/>
            </w:pPr>
            <w:r>
              <w:t xml:space="preserve">11,000</w:t>
            </w:r>
          </w:p>
        </w:tc>
      </w:tr>
      <w:tr>
        <w:tc>
          <w:tcPr/>
          <w:p>
            <w:pPr>
              <w:pStyle w:val="Compact"/>
              <w:jc w:val="left"/>
            </w:pPr>
            <w:r>
              <w:t xml:space="preserve">03</w:t>
            </w:r>
          </w:p>
        </w:tc>
        <w:tc>
          <w:tcPr/>
          <w:p>
            <w:pPr>
              <w:pStyle w:val="Compact"/>
              <w:jc w:val="left"/>
            </w:pPr>
            <w:r>
              <w:t xml:space="preserve">Descriptive and inferential statistical analysis including regression modeling, ANOVA, and hypothesis testing</w:t>
            </w:r>
          </w:p>
        </w:tc>
        <w:tc>
          <w:tcPr/>
          <w:p>
            <w:pPr>
              <w:pStyle w:val="Compact"/>
              <w:jc w:val="left"/>
            </w:pPr>
            <w:r>
              <w:t xml:space="preserve">20 hours</w:t>
            </w:r>
          </w:p>
        </w:tc>
        <w:tc>
          <w:tcPr/>
          <w:p>
            <w:pPr>
              <w:pStyle w:val="Compact"/>
              <w:jc w:val="left"/>
            </w:pPr>
            <w:r>
              <w:t xml:space="preserve">1,350</w:t>
            </w:r>
          </w:p>
        </w:tc>
        <w:tc>
          <w:tcPr/>
          <w:p>
            <w:pPr>
              <w:pStyle w:val="Compact"/>
              <w:jc w:val="left"/>
            </w:pPr>
            <w:r>
              <w:t xml:space="preserve">27,000</w:t>
            </w:r>
          </w:p>
        </w:tc>
      </w:tr>
      <w:tr>
        <w:tc>
          <w:tcPr/>
          <w:p>
            <w:pPr>
              <w:pStyle w:val="Compact"/>
              <w:jc w:val="left"/>
            </w:pPr>
            <w:r>
              <w:t xml:space="preserve">04</w:t>
            </w:r>
          </w:p>
        </w:tc>
        <w:tc>
          <w:tcPr/>
          <w:p>
            <w:pPr>
              <w:pStyle w:val="Compact"/>
              <w:jc w:val="left"/>
            </w:pPr>
            <w:r>
              <w:t xml:space="preserve">Development of predictive models and machine-learning pipelines using R and Python</w:t>
            </w:r>
          </w:p>
        </w:tc>
        <w:tc>
          <w:tcPr/>
          <w:p>
            <w:pPr>
              <w:pStyle w:val="Compact"/>
              <w:jc w:val="left"/>
            </w:pPr>
            <w:r>
              <w:t xml:space="preserve">25 hours</w:t>
            </w:r>
          </w:p>
        </w:tc>
        <w:tc>
          <w:tcPr/>
          <w:p>
            <w:pPr>
              <w:pStyle w:val="Compact"/>
              <w:jc w:val="left"/>
            </w:pPr>
            <w:r>
              <w:t xml:space="preserve">1,500</w:t>
            </w:r>
          </w:p>
        </w:tc>
        <w:tc>
          <w:tcPr/>
          <w:p>
            <w:pPr>
              <w:pStyle w:val="Compact"/>
              <w:jc w:val="left"/>
            </w:pPr>
            <w:r>
              <w:t xml:space="preserve">37,500</w:t>
            </w:r>
          </w:p>
        </w:tc>
      </w:tr>
      <w:tr>
        <w:tc>
          <w:tcPr/>
          <w:p>
            <w:pPr>
              <w:pStyle w:val="Compact"/>
              <w:jc w:val="left"/>
            </w:pPr>
            <w:r>
              <w:t xml:space="preserve">05</w:t>
            </w:r>
          </w:p>
        </w:tc>
        <w:tc>
          <w:tcPr/>
          <w:p>
            <w:pPr>
              <w:pStyle w:val="Compact"/>
              <w:jc w:val="left"/>
            </w:pPr>
            <w:r>
              <w:t xml:space="preserve">Preparation of a comprehensive statistical report (bilingual: Hebrew and English) with visualizations and executive summary</w:t>
            </w:r>
          </w:p>
        </w:tc>
        <w:tc>
          <w:tcPr/>
          <w:p>
            <w:pPr>
              <w:pStyle w:val="Compact"/>
              <w:jc w:val="left"/>
            </w:pPr>
            <w:r>
              <w:t xml:space="preserve">1 deliverable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06</w:t>
            </w:r>
          </w:p>
        </w:tc>
        <w:tc>
          <w:tcPr/>
          <w:p>
            <w:pPr>
              <w:pStyle w:val="Compact"/>
              <w:jc w:val="left"/>
            </w:pPr>
            <w:r>
              <w:t xml:space="preserve">On-site presentation and stakeholder briefing in Tel Aviv (up to 20 attendees)</w:t>
            </w:r>
          </w:p>
        </w:tc>
        <w:tc>
          <w:tcPr/>
          <w:p>
            <w:pPr>
              <w:pStyle w:val="Compact"/>
              <w:jc w:val="left"/>
            </w:pPr>
            <w:r>
              <w:t xml:space="preserve">3 hours</w:t>
            </w:r>
          </w:p>
        </w:tc>
        <w:tc>
          <w:tcPr/>
          <w:p>
            <w:pPr>
              <w:pStyle w:val="Compact"/>
              <w:jc w:val="left"/>
            </w:pPr>
            <w:r>
              <w:t xml:space="preserve">1,400</w:t>
            </w:r>
          </w:p>
        </w:tc>
        <w:tc>
          <w:tcPr/>
          <w:p>
            <w:pPr>
              <w:pStyle w:val="Compact"/>
              <w:jc w:val="left"/>
            </w:pPr>
            <w:r>
              <w:t xml:space="preserve">4,200</w:t>
            </w:r>
          </w:p>
        </w:tc>
      </w:tr>
      <w:tr>
        <w:tc>
          <w:tcPr/>
          <w:p>
            <w:pPr>
              <w:pStyle w:val="Compact"/>
              <w:jc w:val="left"/>
            </w:pPr>
            <w:r>
              <w:t xml:space="preserve">07</w:t>
            </w:r>
          </w:p>
        </w:tc>
        <w:tc>
          <w:tcPr/>
          <w:p>
            <w:pPr>
              <w:pStyle w:val="Compact"/>
              <w:jc w:val="left"/>
            </w:pPr>
            <w:r>
              <w:t xml:space="preserve">Post-delivery support and model recalibration (30-day window)</w:t>
            </w:r>
          </w:p>
        </w:tc>
        <w:tc>
          <w:tcPr/>
          <w:p>
            <w:pPr>
              <w:pStyle w:val="Compact"/>
              <w:jc w:val="left"/>
            </w:pPr>
            <w:r>
              <w:t xml:space="preserve">8 hours</w:t>
            </w:r>
          </w:p>
        </w:tc>
        <w:tc>
          <w:tcPr/>
          <w:p>
            <w:pPr>
              <w:pStyle w:val="Compact"/>
              <w:jc w:val="left"/>
            </w:pPr>
            <w:r>
              <w:t xml:space="preserve">1,100</w:t>
            </w:r>
          </w:p>
        </w:tc>
        <w:tc>
          <w:tcPr/>
          <w:p>
            <w:pPr>
              <w:pStyle w:val="Compact"/>
              <w:jc w:val="left"/>
            </w:pPr>
            <w:r>
              <w:t xml:space="preserve">8,800</w:t>
            </w:r>
          </w:p>
        </w:tc>
      </w:tr>
      <w:tr>
        <w:tc>
          <w:tcPr/>
          <w:p>
            <w:pPr>
              <w:pStyle w:val="Compact"/>
              <w:jc w:val="left"/>
            </w:pPr>
            <w:r>
              <w:t xml:space="preserve">08</w:t>
            </w:r>
          </w:p>
        </w:tc>
        <w:tc>
          <w:tcPr/>
          <w:p>
            <w:pPr>
              <w:pStyle w:val="Compact"/>
              <w:jc w:val="left"/>
            </w:pPr>
            <w:r>
              <w:t xml:space="preserve">Travel and local transportation within the Tel Aviv metropolitan area</w:t>
            </w:r>
          </w:p>
        </w:tc>
        <w:tc>
          <w:tcPr/>
          <w:p>
            <w:pPr>
              <w:pStyle w:val="Compact"/>
              <w:jc w:val="left"/>
            </w:pPr>
            <w:r>
              <w:t xml:space="preserve">Flat fee</w:t>
            </w:r>
          </w:p>
        </w:tc>
        <w:tc>
          <w:tcPr/>
          <w:p>
            <w:pPr>
              <w:pStyle w:val="Compact"/>
              <w:jc w:val="left"/>
            </w:pPr>
            <w:r>
              <w:t xml:space="preserve">1,500</w:t>
            </w:r>
          </w:p>
        </w:tc>
        <w:tc>
          <w:tcPr/>
          <w:p>
            <w:pPr>
              <w:pStyle w:val="Compact"/>
              <w:jc w:val="left"/>
            </w:pPr>
            <w:r>
              <w:t xml:space="preserve">1,500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01–08)</w:t>
            </w:r>
          </w:p>
        </w:tc>
        <w:tc>
          <w:tcPr/>
          <w:p>
            <w:pPr>
              <w:pStyle w:val="Compact"/>
              <w:jc w:val="right"/>
            </w:pPr>
            <w:r>
              <w:t xml:space="preserve">103,300 ILS</w:t>
            </w:r>
          </w:p>
        </w:tc>
      </w:tr>
      <w:tr>
        <w:tc>
          <w:tcPr/>
          <w:p>
            <w:pPr>
              <w:pStyle w:val="Compact"/>
              <w:jc w:val="left"/>
            </w:pPr>
            <w:r>
              <w:t xml:space="preserve">VAT (18% — Israel Value Added Tax)</w:t>
            </w:r>
          </w:p>
        </w:tc>
        <w:tc>
          <w:tcPr/>
          <w:p>
            <w:pPr>
              <w:pStyle w:val="Compact"/>
              <w:jc w:val="right"/>
            </w:pPr>
            <w:r>
              <w:t xml:space="preserve">18,594 ILS</w:t>
            </w:r>
          </w:p>
        </w:tc>
      </w:tr>
      <w:tr>
        <w:tc>
          <w:tcPr/>
          <w:p>
            <w:pPr>
              <w:pStyle w:val="Compact"/>
              <w:jc w:val="left"/>
            </w:pPr>
            <w:r>
              <w:t xml:space="preserve">Total Estimated Cost (VAT Inclusive)</w:t>
            </w:r>
          </w:p>
        </w:tc>
        <w:tc>
          <w:tcPr/>
          <w:p>
            <w:pPr>
              <w:pStyle w:val="Compact"/>
              <w:jc w:val="right"/>
            </w:pPr>
            <w:r>
              <w:t xml:space="preserve">121,894 ILS</w:t>
            </w:r>
          </w:p>
        </w:tc>
      </w:tr>
    </w:tbl>
    <w:p>
      <w:pPr>
        <w:pStyle w:val="BodyText"/>
      </w:pPr>
      <w:r>
        <w:t xml:space="preserve">All amounts in this</w:t>
      </w:r>
      <w:r>
        <w:t xml:space="preserve"> </w:t>
      </w:r>
      <w:r>
        <w:t xml:space="preserve">Quotation Estimate</w:t>
      </w:r>
      <w:r>
        <w:t xml:space="preserve"> </w:t>
      </w:r>
      <w:r>
        <w:t xml:space="preserve">are denominated in Israeli New Shekels (ILS / –). Payment terms: 40% upon acceptance of this</w:t>
      </w:r>
      <w:r>
        <w:t xml:space="preserve"> </w:t>
      </w:r>
      <w:r>
        <w:t xml:space="preserve">Quotation Estimate</w:t>
      </w:r>
      <w:r>
        <w:t xml:space="preserve">, 40% upon delivery of the statistical report, and 20% upon completion of the post-delivery support window. Bank transfer to the designated account in Tel Aviv, Israel.</w:t>
      </w:r>
    </w:p>
    <w:bookmarkEnd w:id="23"/>
    <w:bookmarkStart w:id="24" w:name="Xb1033e215fb10e35cd9e3cf65d1880f40874705"/>
    <w:p>
      <w:pPr>
        <w:pStyle w:val="Heading2"/>
      </w:pPr>
      <w:r>
        <w:t xml:space="preserve">4. Statistician Qualifications and Methodology</w:t>
      </w:r>
    </w:p>
    <w:p>
      <w:pPr>
        <w:pStyle w:val="FirstParagraph"/>
      </w:pPr>
      <w:r>
        <w:t xml:space="preserve">The</w:t>
      </w:r>
      <w:r>
        <w:t xml:space="preserve"> </w:t>
      </w:r>
      <w:r>
        <w:t xml:space="preserve">Statistician</w:t>
      </w:r>
      <w:r>
        <w:t xml:space="preserve"> </w:t>
      </w:r>
      <w:r>
        <w:t xml:space="preserve">assigned to this engagement holds a Ph.D. in Applied Statistics from the Technion — Israel Institute of Technology (Haifa) and possesses over twelve years of professional experience in quantitative analysis, biostatistics, and econometric modeling. The</w:t>
      </w:r>
      <w:r>
        <w:t xml:space="preserve"> </w:t>
      </w:r>
      <w:r>
        <w:t xml:space="preserve">Statistician</w:t>
      </w:r>
      <w:r>
        <w:t xml:space="preserve"> </w:t>
      </w:r>
      <w:r>
        <w:t xml:space="preserve">is a certified member of the Israeli Statistical Association and has previously delivered projects for financial institutions, healthcare organizations, and government agencies across</w:t>
      </w:r>
      <w:r>
        <w:t xml:space="preserve"> </w:t>
      </w:r>
      <w:r>
        <w:t xml:space="preserve">Israel Tel Aviv</w:t>
      </w:r>
      <w:r>
        <w:t xml:space="preserve"> </w:t>
      </w:r>
      <w:r>
        <w:t xml:space="preserve">and the surrounding districts.</w:t>
      </w:r>
    </w:p>
    <w:p>
      <w:pPr>
        <w:pStyle w:val="BodyText"/>
      </w:pPr>
      <w:r>
        <w:t xml:space="preserve">The analytical methodology will follow a structured, reproducible workflow: exploratory data analysis, feature engineering, model selection and validation (cross-validation, AIC/BIC criteria), sensitivity analysis, and final reporting. All code and intermediate outputs will be version-controlled and made available to the client upon project closure.</w:t>
      </w:r>
    </w:p>
    <w:bookmarkEnd w:id="24"/>
    <w:bookmarkStart w:id="25" w:name="terms-conditions-and-validity"/>
    <w:p>
      <w:pPr>
        <w:pStyle w:val="Heading2"/>
      </w:pPr>
      <w:r>
        <w:t xml:space="preserve">5. Terms, Conditions, and Validity</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rates may be revised to reflect current market conditions in</w:t>
      </w:r>
      <w:r>
        <w:t xml:space="preserve"> </w:t>
      </w:r>
      <w:r>
        <w:t xml:space="preserve">Israel Tel Aviv</w:t>
      </w:r>
      <w:r>
        <w:t xml:space="preserve">.</w:t>
      </w:r>
    </w:p>
    <w:p>
      <w:pPr>
        <w:numPr>
          <w:ilvl w:val="0"/>
          <w:numId w:val="1001"/>
        </w:numPr>
        <w:pStyle w:val="Compact"/>
      </w:pPr>
      <w:r>
        <w:t xml:space="preserve">The</w:t>
      </w:r>
      <w:r>
        <w:t xml:space="preserve"> </w:t>
      </w:r>
      <w:r>
        <w:t xml:space="preserve">Statistician</w:t>
      </w:r>
      <w:r>
        <w:t xml:space="preserve"> </w:t>
      </w:r>
      <w:r>
        <w:t xml:space="preserve">reserves the right to decline or reschedule engagements with a minimum of five (5) business days' written notice.</w:t>
      </w:r>
    </w:p>
    <w:p>
      <w:pPr>
        <w:numPr>
          <w:ilvl w:val="0"/>
          <w:numId w:val="1001"/>
        </w:numPr>
        <w:pStyle w:val="Compact"/>
      </w:pPr>
      <w:r>
        <w:t xml:space="preserve">All intellectual property generated under this engagement, including models, code, and reports, shall transfer to the client upon full payment.</w:t>
      </w:r>
    </w:p>
    <w:p>
      <w:pPr>
        <w:numPr>
          <w:ilvl w:val="0"/>
          <w:numId w:val="1001"/>
        </w:numPr>
        <w:pStyle w:val="Compact"/>
      </w:pPr>
      <w:r>
        <w:t xml:space="preserve">Confidentiality: The</w:t>
      </w:r>
      <w:r>
        <w:t xml:space="preserve"> </w:t>
      </w:r>
      <w:r>
        <w:t xml:space="preserve">Statistician</w:t>
      </w:r>
      <w:r>
        <w:t xml:space="preserve"> </w:t>
      </w:r>
      <w:r>
        <w:t xml:space="preserve">and all supporting personnel are bound by a mutual Non-Disclosure Agreement (NDA) in accordance with Israeli contract law.</w:t>
      </w:r>
    </w:p>
    <w:p>
      <w:pPr>
        <w:numPr>
          <w:ilvl w:val="0"/>
          <w:numId w:val="1001"/>
        </w:numPr>
        <w:pStyle w:val="Compact"/>
      </w:pPr>
      <w:r>
        <w:t xml:space="preserve">Force Majeure: Neither party shall be liable for delays caused by events beyond reasonable control, including but not limited to national security alerts, public health emergencies, or government-mandated closures affecting operations in</w:t>
      </w:r>
      <w:r>
        <w:t xml:space="preserve"> </w:t>
      </w:r>
      <w:r>
        <w:t xml:space="preserve">Israel Tel Aviv</w:t>
      </w:r>
      <w:r>
        <w:t xml:space="preserve">.</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governed by the laws of the State of Israel and adjudicated in the competent courts of Tel Aviv.</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scope, and financial figures set forth in this</w:t>
      </w:r>
      <w:r>
        <w:t xml:space="preserve"> </w:t>
      </w:r>
      <w:r>
        <w:t xml:space="preserve">Quotation Estimate</w:t>
      </w:r>
      <w:r>
        <w:t xml:space="preserve"> </w:t>
      </w:r>
      <w:r>
        <w:t xml:space="preserve">for</w:t>
      </w:r>
      <w:r>
        <w:t xml:space="preserve"> </w:t>
      </w:r>
      <w:r>
        <w:t xml:space="preserve">Statistician</w:t>
      </w:r>
      <w:r>
        <w:t xml:space="preserve"> </w:t>
      </w:r>
      <w:r>
        <w:t xml:space="preserve">services to be performed in</w:t>
      </w:r>
      <w:r>
        <w:t xml:space="preserve"> </w:t>
      </w:r>
      <w:r>
        <w:t xml:space="preserve">Israel Tel Aviv</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(Statistician)</w:t>
            </w:r>
          </w:p>
        </w:tc>
        <w:tc>
          <w:tcPr/>
          <w:p>
            <w:pPr>
              <w:pStyle w:val="Compact"/>
              <w:jc w:val="left"/>
            </w:pPr>
            <w:r>
              <w:t xml:space="preserve">Dr. Miriam Levi</w:t>
            </w:r>
          </w:p>
        </w:tc>
        <w:tc>
          <w:tcPr/>
          <w:p>
            <w:pPr>
              <w:pStyle w:val="Compact"/>
              <w:jc w:val="left"/>
            </w:pPr>
            <w:r>
              <w:t xml:space="preserve"> </w:t>
            </w:r>
          </w:p>
        </w:tc>
        <w:tc>
          <w:tcPr/>
          <w:p>
            <w:pPr>
              <w:pStyle w:val="Compact"/>
              <w:jc w:val="left"/>
            </w:pPr>
            <w:r>
              <w:t xml:space="preserve"> </w:t>
            </w:r>
          </w:p>
        </w:tc>
      </w:tr>
      <w:tr>
        <w:tc>
          <w:tcPr/>
          <w:p>
            <w:pPr>
              <w:pStyle w:val="Compact"/>
              <w:jc w:val="left"/>
            </w:pPr>
            <w:r>
              <w:t xml:space="preserve">Accepted by (Client)</w:t>
            </w:r>
          </w:p>
        </w:tc>
        <w:tc>
          <w:tcPr/>
          <w:p>
            <w:pPr>
              <w:pStyle w:val="Compact"/>
              <w:jc w:val="left"/>
            </w:pPr>
            <w:r>
              <w:t xml:space="preserve"> </w:t>
            </w:r>
          </w:p>
        </w:tc>
        <w:tc>
          <w:tcPr/>
          <w:p>
            <w:pPr>
              <w:pStyle w:val="Compact"/>
              <w:jc w:val="left"/>
            </w:pPr>
            <w:r>
              <w:t xml:space="preserve"> </w:t>
            </w:r>
          </w:p>
        </w:tc>
        <w:tc>
          <w:tcPr/>
          <w:p>
            <w:pPr>
              <w:pStyle w:val="Compact"/>
              <w:jc w:val="left"/>
            </w:pPr>
            <w:r>
              <w:t xml:space="preserve"> </w:t>
            </w:r>
          </w:p>
        </w:tc>
      </w:tr>
    </w:tbl>
    <w:bookmarkEnd w:id="26"/>
    <w:p>
      <w:pPr>
        <w:pStyle w:val="BodyText"/>
      </w:pPr>
      <w:r>
        <w:rPr>
          <w:bCs/>
          <w:b/>
        </w:rPr>
        <w:t xml:space="preserve">Quotation Estimate</w:t>
      </w:r>
      <w:r>
        <w:t xml:space="preserve"> </w:t>
      </w:r>
      <w:r>
        <w:t xml:space="preserve">QTE-TLV-2025-0847 —</w:t>
      </w:r>
      <w:r>
        <w:t xml:space="preserve"> </w:t>
      </w:r>
      <w:r>
        <w:t xml:space="preserve">Statistician</w:t>
      </w:r>
      <w:r>
        <w:t xml:space="preserve"> </w:t>
      </w:r>
      <w:r>
        <w:t xml:space="preserve">Services —</w:t>
      </w:r>
      <w:r>
        <w:t xml:space="preserve"> </w:t>
      </w:r>
      <w:r>
        <w:t xml:space="preserve">Israel Tel Aviv</w:t>
      </w:r>
    </w:p>
    <w:p>
      <w:pPr>
        <w:pStyle w:val="BodyText"/>
      </w:pPr>
      <w:r>
        <w:t xml:space="preserve">Statistical Solutions Group Ltd. | 45 Dizengoff Street, Tel Aviv 6300000, Israel | Tel: +972-3-555-0142 | Email: quotations@statisticians-tlv.co.il</w:t>
      </w:r>
    </w:p>
    <w:p>
      <w:pPr>
        <w:pStyle w:val="BodyText"/>
      </w:pPr>
      <w:r>
        <w:t xml:space="preserve">This document is a</w:t>
      </w:r>
      <w:r>
        <w:t xml:space="preserve"> </w:t>
      </w:r>
      <w:r>
        <w:t xml:space="preserve">Quotation Estimate</w:t>
      </w:r>
      <w:r>
        <w:t xml:space="preserve"> </w:t>
      </w:r>
      <w:r>
        <w:t xml:space="preserve">and does not constitute a binding contract until formally accepted in writing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Israel Tel Aviv</dc:title>
  <dc:creator/>
  <dc:language>en</dc:language>
  <cp:keywords/>
  <dcterms:created xsi:type="dcterms:W3CDTF">2026-10-10T05:47:54Z</dcterms:created>
  <dcterms:modified xsi:type="dcterms:W3CDTF">2026-10-10T05:47:54Z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