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Statistician Services — Japan Osaka Region</w:t>
      </w:r>
    </w:p>
    <w:bookmarkEnd w:id="20"/>
    <w:bookmarkStart w:id="21" w:name="quotation-estimate-details"/>
    <w:p>
      <w:pPr>
        <w:pStyle w:val="Heading3"/>
      </w:pPr>
      <w:r>
        <w:t xml:space="preserve">Quotation Estimate Details</w:t>
      </w:r>
    </w:p>
    <w:p>
      <w:pPr>
        <w:pStyle w:val="FirstParagraph"/>
      </w:pPr>
      <w:r>
        <w:rPr>
          <w:bCs/>
          <w:b/>
        </w:rPr>
        <w:t xml:space="preserve">Reference No.:</w:t>
      </w:r>
      <w:r>
        <w:t xml:space="preserve"> </w:t>
      </w:r>
      <w:r>
        <w:t xml:space="preserve">QE-JOS-2025-0417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Japanese Yen (JPY)</w:t>
      </w:r>
    </w:p>
    <w:p>
      <w:pPr>
        <w:pStyle w:val="BodyText"/>
      </w:pPr>
      <w:r>
        <w:rPr>
          <w:bCs/>
          <w:b/>
        </w:rPr>
        <w:t xml:space="preserve">Service Location:</w:t>
      </w:r>
      <w:r>
        <w:t xml:space="preserve"> </w:t>
      </w:r>
      <w:r>
        <w:t xml:space="preserve">Japan Osaka, Kansai Region</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Kansai Analytical Solutions Ltd.</w:t>
      </w:r>
    </w:p>
    <w:p>
      <w:pPr>
        <w:pStyle w:val="BodyText"/>
      </w:pPr>
      <w:r>
        <w:rPr>
          <w:bCs/>
          <w:b/>
        </w:rPr>
        <w:t xml:space="preserve">Address:</w:t>
      </w:r>
      <w:r>
        <w:t xml:space="preserve"> </w:t>
      </w:r>
      <w:r>
        <w:t xml:space="preserve">3-2-1 Umeda, Kita-ku, Osaka 530-0001, Japan</w:t>
      </w:r>
    </w:p>
    <w:p>
      <w:pPr>
        <w:pStyle w:val="BodyText"/>
      </w:pPr>
      <w:r>
        <w:rPr>
          <w:bCs/>
          <w:b/>
        </w:rPr>
        <w:t xml:space="preserve">Contact:</w:t>
      </w:r>
      <w:r>
        <w:t xml:space="preserve"> </w:t>
      </w:r>
      <w:r>
        <w:t xml:space="preserve">+81-6-6345-7890</w:t>
      </w:r>
    </w:p>
    <w:p>
      <w:pPr>
        <w:pStyle w:val="BodyText"/>
      </w:pPr>
      <w:r>
        <w:rPr>
          <w:bCs/>
          <w:b/>
        </w:rPr>
        <w:t xml:space="preserve">Email:</w:t>
      </w:r>
      <w:r>
        <w:t xml:space="preserve"> </w:t>
      </w:r>
      <w:r>
        <w:t xml:space="preserve">estimates@kansai-analytical.jp</w:t>
      </w:r>
    </w:p>
    <w:p>
      <w:pPr>
        <w:pStyle w:val="BodyText"/>
      </w:pPr>
      <w:r>
        <w:rPr>
          <w:bCs/>
          <w:b/>
        </w:rPr>
        <w:t xml:space="preserve">Representative:</w:t>
      </w:r>
      <w:r>
        <w:t xml:space="preserve"> </w:t>
      </w:r>
      <w:r>
        <w:t xml:space="preserve">Dr. Kenji Tanaka, Lead Statistician</w:t>
      </w:r>
    </w:p>
    <w:bookmarkEnd w:id="22"/>
    <w:bookmarkStart w:id="23" w:name="prepared-for-client"/>
    <w:p>
      <w:pPr>
        <w:pStyle w:val="Heading3"/>
      </w:pPr>
      <w:r>
        <w:t xml:space="preserve">Prepared For (Client)</w:t>
      </w:r>
    </w:p>
    <w:p>
      <w:pPr>
        <w:pStyle w:val="FirstParagraph"/>
      </w:pPr>
      <w:r>
        <w:rPr>
          <w:bCs/>
          <w:b/>
        </w:rPr>
        <w:t xml:space="preserve">Company:</w:t>
      </w:r>
      <w:r>
        <w:t xml:space="preserve"> </w:t>
      </w:r>
      <w:r>
        <w:t xml:space="preserve">Nippon Precision Manufacturing Co., Ltd.</w:t>
      </w:r>
    </w:p>
    <w:p>
      <w:pPr>
        <w:pStyle w:val="BodyText"/>
      </w:pPr>
      <w:r>
        <w:rPr>
          <w:bCs/>
          <w:b/>
        </w:rPr>
        <w:t xml:space="preserve">Address:</w:t>
      </w:r>
      <w:r>
        <w:t xml:space="preserve"> </w:t>
      </w:r>
      <w:r>
        <w:t xml:space="preserve">15-4-2 Tennoji, Sumiyoshi-ku, Osaka 545-0004, Japan</w:t>
      </w:r>
    </w:p>
    <w:p>
      <w:pPr>
        <w:pStyle w:val="BodyText"/>
      </w:pPr>
      <w:r>
        <w:rPr>
          <w:bCs/>
          <w:b/>
        </w:rPr>
        <w:t xml:space="preserve">Attn:</w:t>
      </w:r>
      <w:r>
        <w:t xml:space="preserve"> </w:t>
      </w:r>
      <w:r>
        <w:t xml:space="preserve">Mr. Hiroshi Yamamoto, Director of Quality Assurance</w:t>
      </w:r>
    </w:p>
    <w:p>
      <w:pPr>
        <w:pStyle w:val="BodyText"/>
      </w:pPr>
      <w:r>
        <w:rPr>
          <w:bCs/>
          <w:b/>
        </w:rPr>
        <w:t xml:space="preserve">Contact:</w:t>
      </w:r>
      <w:r>
        <w:t xml:space="preserve"> </w:t>
      </w:r>
      <w:r>
        <w:t xml:space="preserve">+81-6-6771-2345</w:t>
      </w:r>
    </w:p>
    <w:bookmarkEnd w:id="23"/>
    <w:bookmarkStart w:id="24" w:name="project-summary"/>
    <w:p>
      <w:pPr>
        <w:pStyle w:val="Heading3"/>
      </w:pPr>
      <w:r>
        <w:t xml:space="preserve">Project Summary</w:t>
      </w:r>
    </w:p>
    <w:p>
      <w:pPr>
        <w:pStyle w:val="FirstParagraph"/>
      </w:pPr>
      <w:r>
        <w:rPr>
          <w:bCs/>
          <w:b/>
        </w:rPr>
        <w:t xml:space="preserve">Service:</w:t>
      </w:r>
      <w:r>
        <w:t xml:space="preserve"> </w:t>
      </w:r>
      <w:r>
        <w:t xml:space="preserve">Statistician Consultation &amp; Data Analysis</w:t>
      </w:r>
    </w:p>
    <w:p>
      <w:pPr>
        <w:pStyle w:val="BodyText"/>
      </w:pPr>
      <w:r>
        <w:rPr>
          <w:bCs/>
          <w:b/>
        </w:rPr>
        <w:t xml:space="preserve">Duration:</w:t>
      </w:r>
      <w:r>
        <w:t xml:space="preserve"> </w:t>
      </w:r>
      <w:r>
        <w:t xml:space="preserve">12 weeks (August 4 – October 24, 2025)</w:t>
      </w:r>
    </w:p>
    <w:p>
      <w:pPr>
        <w:pStyle w:val="BodyText"/>
      </w:pPr>
      <w:r>
        <w:rPr>
          <w:bCs/>
          <w:b/>
        </w:rPr>
        <w:t xml:space="preserve">Location:</w:t>
      </w:r>
      <w:r>
        <w:t xml:space="preserve"> </w:t>
      </w:r>
      <w:r>
        <w:t xml:space="preserve">Japan Osaka (On-site &amp; Remote)</w:t>
      </w:r>
    </w:p>
    <w:p>
      <w:pPr>
        <w:pStyle w:val="BodyText"/>
      </w:pPr>
      <w:r>
        <w:rPr>
          <w:bCs/>
          <w:b/>
        </w:rPr>
        <w:t xml:space="preserve">Scope:</w:t>
      </w:r>
      <w:r>
        <w:t xml:space="preserve"> </w:t>
      </w:r>
      <w:r>
        <w:t xml:space="preserve">Full statistical modeling and reporting</w:t>
      </w:r>
    </w:p>
    <w:bookmarkEnd w:id="24"/>
    <w:bookmarkStart w:id="25" w:name="Xf24c63d3a4def00ff512499221d9d2570f92c62"/>
    <w:p>
      <w:pPr>
        <w:pStyle w:val="Heading2"/>
      </w:pPr>
      <w:r>
        <w:t xml:space="preserve">1. Scope of Statistician Services in Japan Osaka</w:t>
      </w:r>
    </w:p>
    <w:p>
      <w:pPr>
        <w:pStyle w:val="FirstParagraph"/>
      </w:pPr>
      <w:r>
        <w:t xml:space="preserve">This Quotation Estimate outlines the comprehensive professional services to be delivered by a certified</w:t>
      </w:r>
      <w:r>
        <w:t xml:space="preserve"> </w:t>
      </w:r>
      <w:r>
        <w:t xml:space="preserve">Statistician</w:t>
      </w:r>
      <w:r>
        <w:t xml:space="preserve"> </w:t>
      </w:r>
      <w:r>
        <w:t xml:space="preserve">engaged to support Nippon Precision Manufacturing Co., Ltd. in the</w:t>
      </w:r>
      <w:r>
        <w:t xml:space="preserve"> </w:t>
      </w:r>
      <w:r>
        <w:t xml:space="preserve">Japan Osaka</w:t>
      </w:r>
      <w:r>
        <w:t xml:space="preserve"> </w:t>
      </w:r>
      <w:r>
        <w:t xml:space="preserve">metropolitan area. The Statistician will be responsible for designing, executing, and interpreting advanced statistical analyses across the client's manufacturing quality control, process optimization, and predictive maintenance programs. All deliverables will be produced in accordance with Japanese industrial standards (JIS) and international statistical best practices.</w:t>
      </w:r>
    </w:p>
    <w:p>
      <w:pPr>
        <w:pStyle w:val="BodyText"/>
      </w:pPr>
      <w:r>
        <w:t xml:space="preserve">The Statistician will operate primarily from the client's facility in Sumiyoshi-ku, Japan Osaka, with supplementary remote work permitted. The engagement covers data collection oversight, hypothesis testing, regression modeling, multivariate analysis, Bayesian inference, and the preparation of executive-level statistical reports. The Statistician will also conduct training sessions for the client's internal quality assurance team to ensure sustainable analytical capability within the Japan Osaka operations.</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Statistician On-Site Consultation (Japan Osaka)</w:t>
            </w:r>
          </w:p>
        </w:tc>
        <w:tc>
          <w:tcPr/>
          <w:p>
            <w:pPr>
              <w:pStyle w:val="Compact"/>
              <w:jc w:val="left"/>
            </w:pPr>
            <w:r>
              <w:t xml:space="preserve">48 hours</w:t>
            </w:r>
          </w:p>
        </w:tc>
        <w:tc>
          <w:tcPr/>
          <w:p>
            <w:pPr>
              <w:pStyle w:val="Compact"/>
              <w:jc w:val="left"/>
            </w:pPr>
            <w:r>
              <w:t xml:space="preserve">¥28,000</w:t>
            </w:r>
          </w:p>
        </w:tc>
        <w:tc>
          <w:tcPr/>
          <w:p>
            <w:pPr>
              <w:pStyle w:val="Compact"/>
              <w:jc w:val="left"/>
            </w:pPr>
            <w:r>
              <w:t xml:space="preserve">¥1,344,000</w:t>
            </w:r>
          </w:p>
        </w:tc>
        <w:tc>
          <w:tcPr/>
          <w:p>
            <w:pPr>
              <w:pStyle w:val="Compact"/>
              <w:jc w:val="left"/>
            </w:pPr>
            <w:r>
              <w:t xml:space="preserve">4 hrs/day, Mon–Fri</w:t>
            </w:r>
          </w:p>
        </w:tc>
      </w:tr>
      <w:tr>
        <w:tc>
          <w:tcPr/>
          <w:p>
            <w:pPr>
              <w:pStyle w:val="Compact"/>
              <w:jc w:val="left"/>
            </w:pPr>
            <w:r>
              <w:t xml:space="preserve">2</w:t>
            </w:r>
          </w:p>
        </w:tc>
        <w:tc>
          <w:tcPr/>
          <w:p>
            <w:pPr>
              <w:pStyle w:val="Compact"/>
              <w:jc w:val="left"/>
            </w:pPr>
            <w:r>
              <w:t xml:space="preserve">Advanced Statistical Modeling &amp; Simulation</w:t>
            </w:r>
          </w:p>
        </w:tc>
        <w:tc>
          <w:tcPr/>
          <w:p>
            <w:pPr>
              <w:pStyle w:val="Compact"/>
              <w:jc w:val="left"/>
            </w:pPr>
            <w:r>
              <w:t xml:space="preserve">60 hours</w:t>
            </w:r>
          </w:p>
        </w:tc>
        <w:tc>
          <w:tcPr/>
          <w:p>
            <w:pPr>
              <w:pStyle w:val="Compact"/>
              <w:jc w:val="left"/>
            </w:pPr>
            <w:r>
              <w:t xml:space="preserve">¥32,000</w:t>
            </w:r>
          </w:p>
        </w:tc>
        <w:tc>
          <w:tcPr/>
          <w:p>
            <w:pPr>
              <w:pStyle w:val="Compact"/>
              <w:jc w:val="left"/>
            </w:pPr>
            <w:r>
              <w:t xml:space="preserve">¥1,920,000</w:t>
            </w:r>
          </w:p>
        </w:tc>
        <w:tc>
          <w:tcPr/>
          <w:p>
            <w:pPr>
              <w:pStyle w:val="Compact"/>
              <w:jc w:val="left"/>
            </w:pPr>
            <w:r>
              <w:t xml:space="preserve">Monte Carlo, ANOVA, SEM</w:t>
            </w:r>
          </w:p>
        </w:tc>
      </w:tr>
      <w:tr>
        <w:tc>
          <w:tcPr/>
          <w:p>
            <w:pPr>
              <w:pStyle w:val="Compact"/>
              <w:jc w:val="left"/>
            </w:pPr>
            <w:r>
              <w:t xml:space="preserve">3</w:t>
            </w:r>
          </w:p>
        </w:tc>
        <w:tc>
          <w:tcPr/>
          <w:p>
            <w:pPr>
              <w:pStyle w:val="Compact"/>
              <w:jc w:val="left"/>
            </w:pPr>
            <w:r>
              <w:t xml:space="preserve">Data Collection Protocol Design (Japan Osaka Plants)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 manufacturing sites</w:t>
            </w:r>
          </w:p>
        </w:tc>
      </w:tr>
      <w:tr>
        <w:tc>
          <w:tcPr/>
          <w:p>
            <w:pPr>
              <w:pStyle w:val="Compact"/>
              <w:jc w:val="left"/>
            </w:pPr>
            <w:r>
              <w:t xml:space="preserve">4</w:t>
            </w:r>
          </w:p>
        </w:tc>
        <w:tc>
          <w:tcPr/>
          <w:p>
            <w:pPr>
              <w:pStyle w:val="Compact"/>
              <w:jc w:val="left"/>
            </w:pPr>
            <w:r>
              <w:t xml:space="preserve">Predictive Maintenance Algorithm Development</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Time-series &amp; survival analysis</w:t>
            </w:r>
          </w:p>
        </w:tc>
      </w:tr>
      <w:tr>
        <w:tc>
          <w:tcPr/>
          <w:p>
            <w:pPr>
              <w:pStyle w:val="Compact"/>
              <w:jc w:val="left"/>
            </w:pPr>
            <w:r>
              <w:t xml:space="preserve">5</w:t>
            </w:r>
          </w:p>
        </w:tc>
        <w:tc>
          <w:tcPr/>
          <w:p>
            <w:pPr>
              <w:pStyle w:val="Compact"/>
              <w:jc w:val="left"/>
            </w:pPr>
            <w:r>
              <w:t xml:space="preserve">Executive Statistical Reports (Monthly)</w:t>
            </w:r>
          </w:p>
        </w:tc>
        <w:tc>
          <w:tcPr/>
          <w:p>
            <w:pPr>
              <w:pStyle w:val="Compact"/>
              <w:jc w:val="left"/>
            </w:pPr>
            <w:r>
              <w:t xml:space="preserve">3 reports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JPY &amp; English versions</w:t>
            </w:r>
          </w:p>
        </w:tc>
      </w:tr>
      <w:tr>
        <w:tc>
          <w:tcPr/>
          <w:p>
            <w:pPr>
              <w:pStyle w:val="Compact"/>
              <w:jc w:val="left"/>
            </w:pPr>
            <w:r>
              <w:t xml:space="preserve">6</w:t>
            </w:r>
          </w:p>
        </w:tc>
        <w:tc>
          <w:tcPr/>
          <w:p>
            <w:pPr>
              <w:pStyle w:val="Compact"/>
              <w:jc w:val="left"/>
            </w:pPr>
            <w:r>
              <w:t xml:space="preserve">Team Training Workshops (Japan Osaka HQ)</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Up to 12 participants each</w:t>
            </w:r>
          </w:p>
        </w:tc>
      </w:tr>
      <w:tr>
        <w:tc>
          <w:tcPr/>
          <w:p>
            <w:pPr>
              <w:pStyle w:val="Compact"/>
              <w:jc w:val="left"/>
            </w:pPr>
            <w:r>
              <w:t xml:space="preserve">7</w:t>
            </w:r>
          </w:p>
        </w:tc>
        <w:tc>
          <w:tcPr/>
          <w:p>
            <w:pPr>
              <w:pStyle w:val="Compact"/>
              <w:jc w:val="left"/>
            </w:pPr>
            <w:r>
              <w:t xml:space="preserve">Software Licensing (R, Minitab, SAS)</w:t>
            </w:r>
          </w:p>
        </w:tc>
        <w:tc>
          <w:tcPr/>
          <w:p>
            <w:pPr>
              <w:pStyle w:val="Compact"/>
              <w:jc w:val="left"/>
            </w:pPr>
            <w:r>
              <w:t xml:space="preserve">12 weeks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Per-seat, 3 users</w:t>
            </w:r>
          </w:p>
        </w:tc>
      </w:tr>
      <w:tr>
        <w:tc>
          <w:tcPr/>
          <w:p>
            <w:pPr>
              <w:pStyle w:val="Compact"/>
              <w:jc w:val="left"/>
            </w:pPr>
            <w:r>
              <w:t xml:space="preserve">8</w:t>
            </w:r>
          </w:p>
        </w:tc>
        <w:tc>
          <w:tcPr/>
          <w:p>
            <w:pPr>
              <w:pStyle w:val="Compact"/>
              <w:jc w:val="left"/>
            </w:pPr>
            <w:r>
              <w:t xml:space="preserve">Travel &amp; Local Transport within Japan Osaka</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Inter-site travel, Osaka Metro</w:t>
            </w:r>
          </w:p>
        </w:tc>
      </w:tr>
      <w:tr>
        <w:tc>
          <w:tcPr/>
          <w:p>
            <w:pPr>
              <w:pStyle w:val="Compact"/>
              <w:jc w:val="left"/>
            </w:pPr>
            <w:r>
              <w:t xml:space="preserve">9</w:t>
            </w:r>
          </w:p>
        </w:tc>
        <w:tc>
          <w:tcPr/>
          <w:p>
            <w:pPr>
              <w:pStyle w:val="Compact"/>
              <w:jc w:val="left"/>
            </w:pPr>
            <w:r>
              <w:t xml:space="preserve">Project Management &amp; Coordination</w:t>
            </w:r>
          </w:p>
        </w:tc>
        <w:tc>
          <w:tcPr/>
          <w:p>
            <w:pPr>
              <w:pStyle w:val="Compact"/>
              <w:jc w:val="left"/>
            </w:pPr>
            <w:r>
              <w:t xml:space="preserve">12 weeks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Weekly progress meetings</w:t>
            </w:r>
          </w:p>
        </w:tc>
      </w:tr>
      <w:tr>
        <w:tc>
          <w:tcPr/>
          <w:p>
            <w:pPr>
              <w:pStyle w:val="Compact"/>
              <w:jc w:val="left"/>
            </w:pPr>
            <w:r>
              <w:t xml:space="preserve">10</w:t>
            </w:r>
          </w:p>
        </w:tc>
        <w:tc>
          <w:tcPr/>
          <w:p>
            <w:pPr>
              <w:pStyle w:val="Compact"/>
              <w:jc w:val="left"/>
            </w:pPr>
            <w:r>
              <w:t xml:space="preserve">Contingency &amp; Revisions (up to 10%)</w:t>
            </w:r>
          </w:p>
        </w:tc>
        <w:tc>
          <w:tcPr/>
          <w:p>
            <w:pPr>
              <w:pStyle w:val="Compact"/>
              <w:jc w:val="left"/>
            </w:pPr>
            <w:r>
              <w:t xml:space="preserve">1 package</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Scope adjustments</w:t>
            </w:r>
          </w:p>
        </w:tc>
      </w:tr>
      <w:tr>
        <w:tc>
          <w:tcPr>
            <w:gridSpan w:val="4"/>
          </w:tcPr>
          <w:p>
            <w:pPr>
              <w:pStyle w:val="Compact"/>
              <w:jc w:val="right"/>
            </w:pPr>
            <w:r>
              <w:t xml:space="preserve">Subtotal</w:t>
            </w:r>
          </w:p>
        </w:tc>
        <w:tc>
          <w:tcPr/>
          <w:p>
            <w:pPr>
              <w:pStyle w:val="Compact"/>
              <w:jc w:val="left"/>
            </w:pPr>
            <w:r>
              <w:t xml:space="preserve">¥9,234,000</w:t>
            </w:r>
          </w:p>
        </w:tc>
        <w:tc>
          <w:tcPr/>
          <w:p>
            <w:pPr>
              <w:pStyle w:val="Compact"/>
            </w:pPr>
          </w:p>
        </w:tc>
      </w:tr>
      <w:tr>
        <w:tc>
          <w:tcPr>
            <w:gridSpan w:val="4"/>
          </w:tcPr>
          <w:p>
            <w:pPr>
              <w:pStyle w:val="Compact"/>
              <w:jc w:val="right"/>
            </w:pPr>
            <w:r>
              <w:t xml:space="preserve">Consumption Tax (10% — Japan Osaka)</w:t>
            </w:r>
          </w:p>
        </w:tc>
        <w:tc>
          <w:tcPr/>
          <w:p>
            <w:pPr>
              <w:pStyle w:val="Compact"/>
              <w:jc w:val="left"/>
            </w:pPr>
            <w:r>
              <w:t xml:space="preserve">¥923,400</w:t>
            </w:r>
          </w:p>
        </w:tc>
        <w:tc>
          <w:tcPr/>
          <w:p>
            <w:pPr>
              <w:pStyle w:val="Compact"/>
            </w:pPr>
          </w:p>
        </w:tc>
      </w:tr>
      <w:tr>
        <w:tc>
          <w:tcPr>
            <w:gridSpan w:val="4"/>
          </w:tcPr>
          <w:p>
            <w:pPr>
              <w:pStyle w:val="Compact"/>
              <w:jc w:val="right"/>
            </w:pPr>
            <w:r>
              <w:t xml:space="preserve">TOTAL QUOTATION ESTIMATE</w:t>
            </w:r>
          </w:p>
        </w:tc>
        <w:tc>
          <w:tcPr/>
          <w:p>
            <w:pPr>
              <w:pStyle w:val="Compact"/>
              <w:jc w:val="left"/>
            </w:pPr>
            <w:r>
              <w:t xml:space="preserve">¥10,157,400</w:t>
            </w:r>
          </w:p>
        </w:tc>
        <w:tc>
          <w:tcPr/>
          <w:p>
            <w:pPr>
              <w:pStyle w:val="Compact"/>
            </w:pPr>
          </w:p>
        </w:tc>
      </w:tr>
    </w:tbl>
    <w:p>
      <w:pPr>
        <w:pStyle w:val="BodyText"/>
      </w:pPr>
      <w:r>
        <w:rPr>
          <w:bCs/>
          <w:b/>
        </w:rPr>
        <w:t xml:space="preserve">Note:</w:t>
      </w:r>
      <w:r>
        <w:t xml:space="preserve"> </w:t>
      </w:r>
      <w:r>
        <w:t xml:space="preserve">This Quotation Estimate is specific to the Statistician engagement in Japan Osaka and is valid for thirty (30) calendar days from the date of issue. Rates are subject to revision if the engagement extends beyond the stated 12-week period. All figures are in Japanese Yen (JPY) and inclusive of standard working hours. Overtime beyond 48 on-site hours per month will be billed at 1.5× the standard Statistician hourly rate.</w:t>
      </w:r>
    </w:p>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Statistician services in Japan Osaka remains valid for 30 days from the issue date. After expiry, a revised Quotation Estimate must be requested.</w:t>
      </w:r>
    </w:p>
    <w:p>
      <w:pPr>
        <w:numPr>
          <w:ilvl w:val="0"/>
          <w:numId w:val="1001"/>
        </w:numPr>
        <w:pStyle w:val="Compact"/>
      </w:pPr>
      <w:r>
        <w:rPr>
          <w:bCs/>
          <w:b/>
        </w:rPr>
        <w:t xml:space="preserve">Payment Terms:</w:t>
      </w:r>
      <w:r>
        <w:t xml:space="preserve"> </w:t>
      </w:r>
      <w:r>
        <w:t xml:space="preserve">30% advance payment upon acceptance of this Quotation Estimate; 40% upon completion of Week 6 deliverables; 30% upon final project closure and acceptance of all statistical reports.</w:t>
      </w:r>
    </w:p>
    <w:p>
      <w:pPr>
        <w:numPr>
          <w:ilvl w:val="0"/>
          <w:numId w:val="1001"/>
        </w:numPr>
        <w:pStyle w:val="Compact"/>
      </w:pPr>
      <w:r>
        <w:rPr>
          <w:bCs/>
          <w:b/>
        </w:rPr>
        <w:t xml:space="preserve">Payment Method:</w:t>
      </w:r>
      <w:r>
        <w:t xml:space="preserve"> </w:t>
      </w:r>
      <w:r>
        <w:t xml:space="preserve">Bank transfer to Kansai Analytical Solutions Ltd., Bank of Osaka, Account No. 000-1234-5678. Invoices will be issued in JPY.</w:t>
      </w:r>
    </w:p>
    <w:p>
      <w:pPr>
        <w:numPr>
          <w:ilvl w:val="0"/>
          <w:numId w:val="1001"/>
        </w:numPr>
        <w:pStyle w:val="Compact"/>
      </w:pPr>
      <w:r>
        <w:rPr>
          <w:bCs/>
          <w:b/>
        </w:rPr>
        <w:t xml:space="preserve">Confidentiality:</w:t>
      </w:r>
      <w:r>
        <w:t xml:space="preserve"> </w:t>
      </w:r>
      <w:r>
        <w:t xml:space="preserve">The Statistician shall adhere to strict NDA terms. All data collected in Japan Osaka facilities will be stored on encrypted servers located within Japan and will not be transferred overseas without written consent.</w:t>
      </w:r>
    </w:p>
    <w:p>
      <w:pPr>
        <w:numPr>
          <w:ilvl w:val="0"/>
          <w:numId w:val="1001"/>
        </w:numPr>
        <w:pStyle w:val="Compact"/>
      </w:pPr>
      <w:r>
        <w:rPr>
          <w:bCs/>
          <w:b/>
        </w:rPr>
        <w:t xml:space="preserve">Intellectual Property:</w:t>
      </w:r>
      <w:r>
        <w:t xml:space="preserve"> </w:t>
      </w:r>
      <w:r>
        <w:t xml:space="preserve">All statistical models, algorithms, and reports produced under this Quotation Estimate shall become the property of the client upon full payment.</w:t>
      </w:r>
    </w:p>
    <w:p>
      <w:pPr>
        <w:numPr>
          <w:ilvl w:val="0"/>
          <w:numId w:val="1001"/>
        </w:numPr>
        <w:pStyle w:val="Compact"/>
      </w:pPr>
      <w:r>
        <w:rPr>
          <w:bCs/>
          <w:b/>
        </w:rPr>
        <w:t xml:space="preserve">Termination:</w:t>
      </w:r>
      <w:r>
        <w:t xml:space="preserve"> </w:t>
      </w:r>
      <w:r>
        <w:t xml:space="preserve">Either party may terminate the engagement with 14 days' written notice. Fees for work completed up to the termination date, as outlined in this Quotation Estimate, remain payable.</w:t>
      </w:r>
    </w:p>
    <w:p>
      <w:pPr>
        <w:numPr>
          <w:ilvl w:val="0"/>
          <w:numId w:val="1001"/>
        </w:numPr>
        <w:pStyle w:val="Compact"/>
      </w:pPr>
      <w:r>
        <w:rPr>
          <w:bCs/>
          <w:b/>
        </w:rPr>
        <w:t xml:space="preserve">Compliance:</w:t>
      </w:r>
      <w:r>
        <w:t xml:space="preserve"> </w:t>
      </w:r>
      <w:r>
        <w:t xml:space="preserve">The Statistician will comply with all applicable Japanese labor laws, data protection regulations (APPI), and industry-specific standards relevant to the Japan Osaka manufacturing sector.</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Osaka, Japan, under the jurisdiction of the Osaka District Court.</w:t>
      </w:r>
    </w:p>
    <w:bookmarkEnd w:id="27"/>
    <w:bookmarkStart w:id="28" w:name="acceptance-and-authorization"/>
    <w:p>
      <w:pPr>
        <w:pStyle w:val="Heading2"/>
      </w:pPr>
      <w:r>
        <w:t xml:space="preserve">4. Acceptance and Authorization</w:t>
      </w:r>
    </w:p>
    <w:p>
      <w:pPr>
        <w:pStyle w:val="FirstParagraph"/>
      </w:pPr>
      <w:r>
        <w:t xml:space="preserve">By signing below, the client acknowledges and accepts this Quotation Estimate for the Statistician engagement in Japan Osaka. The terms, scope, and pricing outlined herein are agreed upon and binding upon both parties.</w:t>
      </w:r>
    </w:p>
    <w:p>
      <w:pPr>
        <w:pStyle w:val="BodyText"/>
      </w:pPr>
      <w:r>
        <w:rPr>
          <w:bCs/>
          <w:b/>
        </w:rPr>
        <w:t xml:space="preserve">For: Nippon Precision Manufacturing Co.,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Kansai Analytical Solutions Ltd.</w:t>
      </w:r>
    </w:p>
    <w:p>
      <w:pPr>
        <w:pStyle w:val="BodyText"/>
      </w:pPr>
      <w:r>
        <w:t xml:space="preserve">Name: Dr. Kenji Tanaka</w:t>
      </w:r>
    </w:p>
    <w:p>
      <w:pPr>
        <w:pStyle w:val="BodyText"/>
      </w:pPr>
      <w:r>
        <w:t xml:space="preserve">Title: Lead Statistician &amp; Project Director</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Reference: QE-JOS-2025-0417 | Statistician Services | Japan Osaka</w:t>
      </w:r>
    </w:p>
    <w:p>
      <w:pPr>
        <w:pStyle w:val="BodyText"/>
      </w:pPr>
      <w:r>
        <w:t xml:space="preserve">Kansai Analytical Solutions Ltd. — 3-2-1 Umeda, Kita-ku, Osaka 530-0001, Japan</w:t>
      </w:r>
    </w:p>
    <w:p>
      <w:pPr>
        <w:pStyle w:val="BodyText"/>
      </w:pPr>
      <w:r>
        <w:t xml:space="preserve">This document is generated electronically and is valid without a physical seal. © 2025 Kansai Analytical Solutions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Japan Osaka</dc:title>
  <dc:creator/>
  <dc:language>en</dc:language>
  <cp:keywords/>
  <dcterms:created xsi:type="dcterms:W3CDTF">2026-10-10T01:16:55Z</dcterms:created>
  <dcterms:modified xsi:type="dcterms:W3CDTF">2026-10-10T01:16:55Z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