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Statistician Services — Netherlands Amsterdam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QE-2025-AMST-0472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Hendrik van der Berg, Lead Statistician — DataScope Analytics B.V.</w:t>
            </w:r>
          </w:p>
        </w:tc>
      </w:tr>
      <w:tr>
        <w:tc>
          <w:tcPr/>
          <w:p>
            <w:pPr>
              <w:pStyle w:val="Compact"/>
              <w:jc w:val="left"/>
            </w:pPr>
            <w:r>
              <w:t xml:space="preserve">Client</w:t>
            </w:r>
          </w:p>
        </w:tc>
        <w:tc>
          <w:tcPr/>
          <w:p>
            <w:pPr>
              <w:pStyle w:val="Compact"/>
              <w:jc w:val="left"/>
            </w:pPr>
            <w:r>
              <w:t xml:space="preserve">Amsterdam Metropolitan Health Authority, Herengracht 450, 1017 CA Amsterdam, Netherlands</w:t>
            </w:r>
          </w:p>
        </w:tc>
      </w:tr>
      <w:tr>
        <w:tc>
          <w:tcPr/>
          <w:p>
            <w:pPr>
              <w:pStyle w:val="Compact"/>
              <w:jc w:val="left"/>
            </w:pPr>
            <w:r>
              <w:t xml:space="preserve">Project Location</w:t>
            </w:r>
          </w:p>
        </w:tc>
        <w:tc>
          <w:tcPr/>
          <w:p>
            <w:pPr>
              <w:pStyle w:val="Compact"/>
              <w:jc w:val="left"/>
            </w:pPr>
            <w:r>
              <w:t xml:space="preserve">Netherlands Amsterdam — Central Office, Prinsengracht 263, 1016 GV Amsterdam</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DataScope Analytics B.V., a registered statistical consultancy operating out of the Netherlands Amsterdam business district, in response to the formal request for proposal (RFP-2025-118) submitted by the Amsterdam Metropolitan Health Authority. The purpose of this document is to provide a comprehensive, itemised cost breakdown for the engagement of a senior</w:t>
      </w:r>
      <w:r>
        <w:t xml:space="preserve"> </w:t>
      </w:r>
      <w:r>
        <w:t xml:space="preserve">Statistician</w:t>
      </w:r>
      <w:r>
        <w:t xml:space="preserve"> </w:t>
      </w:r>
      <w:r>
        <w:t xml:space="preserve">and supporting analytical team to deliver advanced biostatistical modelling, epidemiological data analysis, and predictive health-outcome forecasting services within the Netherlands Amsterdam metropolitan region.</w:t>
      </w:r>
    </w:p>
    <w:p>
      <w:pPr>
        <w:pStyle w:val="BodyText"/>
      </w:pPr>
      <w:r>
        <w:t xml:space="preserve">The</w:t>
      </w:r>
      <w:r>
        <w:t xml:space="preserve"> </w:t>
      </w:r>
      <w:r>
        <w:t xml:space="preserve">Quotation Estimate</w:t>
      </w:r>
      <w:r>
        <w:t xml:space="preserve"> </w:t>
      </w:r>
      <w:r>
        <w:t xml:space="preserve">presented herein reflects current market rates for specialised statistical expertise in the Netherlands Amsterdam area, adjusted for the specific complexity, duration, and regulatory compliance requirements of the client's project scope. All figures are quoted in Euros (EUR) and are exclusive of applicable Dutch Value Added Tax (VAT) at the standard rate of 21%, unless otherwise stated.</w:t>
      </w:r>
    </w:p>
    <w:bookmarkEnd w:id="21"/>
    <w:bookmarkStart w:id="22" w:name="scope-of-work-statistician-engagement"/>
    <w:p>
      <w:pPr>
        <w:pStyle w:val="Heading2"/>
      </w:pPr>
      <w:r>
        <w:t xml:space="preserve">2. Scope of Work — Statistician Engagement</w:t>
      </w:r>
    </w:p>
    <w:p>
      <w:pPr>
        <w:pStyle w:val="FirstParagraph"/>
      </w:pPr>
      <w:r>
        <w:t xml:space="preserve">The</w:t>
      </w:r>
      <w:r>
        <w:t xml:space="preserve"> </w:t>
      </w:r>
      <w:r>
        <w:t xml:space="preserve">Statistician</w:t>
      </w:r>
      <w:r>
        <w:t xml:space="preserve"> </w:t>
      </w:r>
      <w:r>
        <w:t xml:space="preserve">engagement under this</w:t>
      </w:r>
      <w:r>
        <w:t xml:space="preserve"> </w:t>
      </w:r>
      <w:r>
        <w:t xml:space="preserve">Quotation Estimate</w:t>
      </w:r>
      <w:r>
        <w:t xml:space="preserve"> </w:t>
      </w:r>
      <w:r>
        <w:t xml:space="preserve">encompasses the following deliverables and activities, all to be executed in or on behalf of the client's operations in the Netherlands Amsterdam area:</w:t>
      </w:r>
    </w:p>
    <w:p>
      <w:pPr>
        <w:numPr>
          <w:ilvl w:val="0"/>
          <w:numId w:val="1001"/>
        </w:numPr>
        <w:pStyle w:val="Compact"/>
      </w:pPr>
      <w:r>
        <w:rPr>
          <w:bCs/>
          <w:b/>
        </w:rPr>
        <w:t xml:space="preserve">Biostatistical Modelling:</w:t>
      </w:r>
      <w:r>
        <w:t xml:space="preserve"> </w:t>
      </w:r>
      <w:r>
        <w:t xml:space="preserve">Design and implementation of multivariate regression models, survival analysis frameworks, and Bayesian hierarchical models for patient cohort data spanning the Netherlands Amsterdam hospital network.</w:t>
      </w:r>
    </w:p>
    <w:p>
      <w:pPr>
        <w:numPr>
          <w:ilvl w:val="0"/>
          <w:numId w:val="1001"/>
        </w:numPr>
        <w:pStyle w:val="Compact"/>
      </w:pPr>
      <w:r>
        <w:rPr>
          <w:bCs/>
          <w:b/>
        </w:rPr>
        <w:t xml:space="preserve">Epidemiological Surveillance Analysis:</w:t>
      </w:r>
      <w:r>
        <w:t xml:space="preserve"> </w:t>
      </w:r>
      <w:r>
        <w:t xml:space="preserve">Ongoing statistical monitoring of infectious disease incidence rates, seasonal trend decomposition, and early-warning signal detection for the Netherlands Amsterdam public health infrastructure.</w:t>
      </w:r>
    </w:p>
    <w:p>
      <w:pPr>
        <w:numPr>
          <w:ilvl w:val="0"/>
          <w:numId w:val="1001"/>
        </w:numPr>
        <w:pStyle w:val="Compact"/>
      </w:pPr>
      <w:r>
        <w:rPr>
          <w:bCs/>
          <w:b/>
        </w:rPr>
        <w:t xml:space="preserve">Predictive Analytics &amp; Forecasting:</w:t>
      </w:r>
      <w:r>
        <w:t xml:space="preserve"> </w:t>
      </w:r>
      <w:r>
        <w:t xml:space="preserve">Development of machine-learning-assisted statistical models to forecast resource allocation needs, bed occupancy rates, and staffing requirements across Netherlands Amsterdam medical facilities.</w:t>
      </w:r>
    </w:p>
    <w:p>
      <w:pPr>
        <w:numPr>
          <w:ilvl w:val="0"/>
          <w:numId w:val="1001"/>
        </w:numPr>
        <w:pStyle w:val="Compact"/>
      </w:pPr>
      <w:r>
        <w:rPr>
          <w:bCs/>
          <w:b/>
        </w:rPr>
        <w:t xml:space="preserve">Quality Assurance &amp; Validation:</w:t>
      </w:r>
      <w:r>
        <w:t xml:space="preserve"> </w:t>
      </w:r>
      <w:r>
        <w:t xml:space="preserve">Independent statistical review of existing datasets, methodology audits, and reproducibility verification in compliance with Dutch Data Protection Authority (AP) guidelines and EU GDPR regulations.</w:t>
      </w:r>
    </w:p>
    <w:p>
      <w:pPr>
        <w:numPr>
          <w:ilvl w:val="0"/>
          <w:numId w:val="1001"/>
        </w:numPr>
        <w:pStyle w:val="Compact"/>
      </w:pPr>
      <w:r>
        <w:rPr>
          <w:bCs/>
          <w:b/>
        </w:rPr>
        <w:t xml:space="preserve">Reporting &amp; Stakeholder Communication:</w:t>
      </w:r>
      <w:r>
        <w:t xml:space="preserve"> </w:t>
      </w:r>
      <w:r>
        <w:t xml:space="preserve">Preparation of executive-level statistical reports, visual dashboards, and presentation materials for the Netherlands Amsterdam municipal health board and provincial health services (GGD Amsterdam).</w:t>
      </w:r>
    </w:p>
    <w:p>
      <w:pPr>
        <w:numPr>
          <w:ilvl w:val="0"/>
          <w:numId w:val="1001"/>
        </w:numPr>
        <w:pStyle w:val="Compact"/>
      </w:pPr>
      <w:r>
        <w:rPr>
          <w:bCs/>
          <w:b/>
        </w:rPr>
        <w:t xml:space="preserve">Training &amp; Knowledge Transfer:</w:t>
      </w:r>
      <w:r>
        <w:t xml:space="preserve"> </w:t>
      </w:r>
      <w:r>
        <w:t xml:space="preserve">Two on-site workshops per quarter for the client's internal data team, conducted at the Netherlands Amsterdam office premises, covering advanced statistical methods and software proficiency (R, Python, SAS).</w:t>
      </w:r>
    </w:p>
    <w:bookmarkEnd w:id="22"/>
    <w:bookmarkStart w:id="23" w:name="Xbee9353195244511e840923ccaa10bcfcb9291a"/>
    <w:p>
      <w:pPr>
        <w:pStyle w:val="Heading2"/>
      </w:pPr>
      <w:r>
        <w:t xml:space="preserve">3. Itemised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Statistician — Project Lead (Dr. van der Berg)</w:t>
            </w:r>
          </w:p>
        </w:tc>
        <w:tc>
          <w:tcPr/>
          <w:p>
            <w:pPr>
              <w:pStyle w:val="Compact"/>
              <w:jc w:val="left"/>
            </w:pPr>
            <w:r>
              <w:t xml:space="preserve">12 months × 0.8 FTE</w:t>
            </w:r>
          </w:p>
        </w:tc>
        <w:tc>
          <w:tcPr/>
          <w:p>
            <w:pPr>
              <w:pStyle w:val="Compact"/>
              <w:jc w:val="left"/>
            </w:pPr>
            <w:r>
              <w:t xml:space="preserve">€1,850 / day</w:t>
            </w:r>
          </w:p>
        </w:tc>
        <w:tc>
          <w:tcPr/>
          <w:p>
            <w:pPr>
              <w:pStyle w:val="Compact"/>
              <w:jc w:val="left"/>
            </w:pPr>
            <w:r>
              <w:t xml:space="preserve">€36,480.00</w:t>
            </w:r>
          </w:p>
        </w:tc>
      </w:tr>
      <w:tr>
        <w:tc>
          <w:tcPr/>
          <w:p>
            <w:pPr>
              <w:pStyle w:val="Compact"/>
              <w:jc w:val="left"/>
            </w:pPr>
            <w:r>
              <w:t xml:space="preserve">02</w:t>
            </w:r>
          </w:p>
        </w:tc>
        <w:tc>
          <w:tcPr/>
          <w:p>
            <w:pPr>
              <w:pStyle w:val="Compact"/>
              <w:jc w:val="left"/>
            </w:pPr>
            <w:r>
              <w:t xml:space="preserve">Mid-Level Statistician — Data Modelling Specialist</w:t>
            </w:r>
          </w:p>
        </w:tc>
        <w:tc>
          <w:tcPr/>
          <w:p>
            <w:pPr>
              <w:pStyle w:val="Compact"/>
              <w:jc w:val="left"/>
            </w:pPr>
            <w:r>
              <w:t xml:space="preserve">12 months × 1.0 FTE</w:t>
            </w:r>
          </w:p>
        </w:tc>
        <w:tc>
          <w:tcPr/>
          <w:p>
            <w:pPr>
              <w:pStyle w:val="Compact"/>
              <w:jc w:val="left"/>
            </w:pPr>
            <w:r>
              <w:t xml:space="preserve">€1,200 / day</w:t>
            </w:r>
          </w:p>
        </w:tc>
        <w:tc>
          <w:tcPr/>
          <w:p>
            <w:pPr>
              <w:pStyle w:val="Compact"/>
              <w:jc w:val="left"/>
            </w:pPr>
            <w:r>
              <w:t xml:space="preserve">€30,240.00</w:t>
            </w:r>
          </w:p>
        </w:tc>
      </w:tr>
      <w:tr>
        <w:tc>
          <w:tcPr/>
          <w:p>
            <w:pPr>
              <w:pStyle w:val="Compact"/>
              <w:jc w:val="left"/>
            </w:pPr>
            <w:r>
              <w:t xml:space="preserve">03</w:t>
            </w:r>
          </w:p>
        </w:tc>
        <w:tc>
          <w:tcPr/>
          <w:p>
            <w:pPr>
              <w:pStyle w:val="Compact"/>
              <w:jc w:val="left"/>
            </w:pPr>
            <w:r>
              <w:t xml:space="preserve">Junior Statistician — Data Preparation &amp; QA</w:t>
            </w:r>
          </w:p>
        </w:tc>
        <w:tc>
          <w:tcPr/>
          <w:p>
            <w:pPr>
              <w:pStyle w:val="Compact"/>
              <w:jc w:val="left"/>
            </w:pPr>
            <w:r>
              <w:t xml:space="preserve">12 months × 0.6 FTE</w:t>
            </w:r>
          </w:p>
        </w:tc>
        <w:tc>
          <w:tcPr/>
          <w:p>
            <w:pPr>
              <w:pStyle w:val="Compact"/>
              <w:jc w:val="left"/>
            </w:pPr>
            <w:r>
              <w:t xml:space="preserve">€850 / day</w:t>
            </w:r>
          </w:p>
        </w:tc>
        <w:tc>
          <w:tcPr/>
          <w:p>
            <w:pPr>
              <w:pStyle w:val="Compact"/>
              <w:jc w:val="left"/>
            </w:pPr>
            <w:r>
              <w:t xml:space="preserve">€12,780.00</w:t>
            </w:r>
          </w:p>
        </w:tc>
      </w:tr>
      <w:tr>
        <w:tc>
          <w:tcPr/>
          <w:p>
            <w:pPr>
              <w:pStyle w:val="Compact"/>
              <w:jc w:val="left"/>
            </w:pPr>
            <w:r>
              <w:t xml:space="preserve">04</w:t>
            </w:r>
          </w:p>
        </w:tc>
        <w:tc>
          <w:tcPr/>
          <w:p>
            <w:pPr>
              <w:pStyle w:val="Compact"/>
              <w:jc w:val="left"/>
            </w:pPr>
            <w:r>
              <w:t xml:space="preserve">Statistical Software Licences (R, SAS, Python ecosystem)</w:t>
            </w:r>
          </w:p>
        </w:tc>
        <w:tc>
          <w:tcPr/>
          <w:p>
            <w:pPr>
              <w:pStyle w:val="Compact"/>
              <w:jc w:val="left"/>
            </w:pPr>
            <w:r>
              <w:t xml:space="preserve">12-month subscription</w:t>
            </w:r>
          </w:p>
        </w:tc>
        <w:tc>
          <w:tcPr/>
          <w:p>
            <w:pPr>
              <w:pStyle w:val="Compact"/>
              <w:jc w:val="left"/>
            </w:pPr>
            <w:r>
              <w:t xml:space="preserve">€4,500 / yr</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On-site Travel &amp; Accommodation (Netherlands Amsterdam area)</w:t>
            </w:r>
          </w:p>
        </w:tc>
        <w:tc>
          <w:tcPr/>
          <w:p>
            <w:pPr>
              <w:pStyle w:val="Compact"/>
              <w:jc w:val="left"/>
            </w:pPr>
            <w:r>
              <w:t xml:space="preserve">Estimated 48 site visits</w:t>
            </w:r>
          </w:p>
        </w:tc>
        <w:tc>
          <w:tcPr/>
          <w:p>
            <w:pPr>
              <w:pStyle w:val="Compact"/>
              <w:jc w:val="left"/>
            </w:pPr>
            <w:r>
              <w:t xml:space="preserve">€120 / visit</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Training Workshops (2 per quarter, Netherlands Amsterdam venue)</w:t>
            </w:r>
          </w:p>
        </w:tc>
        <w:tc>
          <w:tcPr/>
          <w:p>
            <w:pPr>
              <w:pStyle w:val="Compact"/>
              <w:jc w:val="left"/>
            </w:pPr>
            <w:r>
              <w:t xml:space="preserve">8 sessions</w:t>
            </w:r>
          </w:p>
        </w:tc>
        <w:tc>
          <w:tcPr/>
          <w:p>
            <w:pPr>
              <w:pStyle w:val="Compact"/>
              <w:jc w:val="left"/>
            </w:pPr>
            <w:r>
              <w:t xml:space="preserve">€2,200 / session</w:t>
            </w:r>
          </w:p>
        </w:tc>
        <w:tc>
          <w:tcPr/>
          <w:p>
            <w:pPr>
              <w:pStyle w:val="Compact"/>
              <w:jc w:val="left"/>
            </w:pPr>
            <w:r>
              <w:t xml:space="preserve">€17,600.00</w:t>
            </w:r>
          </w:p>
        </w:tc>
      </w:tr>
      <w:tr>
        <w:tc>
          <w:tcPr/>
          <w:p>
            <w:pPr>
              <w:pStyle w:val="Compact"/>
              <w:jc w:val="left"/>
            </w:pPr>
            <w:r>
              <w:t xml:space="preserve">07</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€1,100 / month</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Contingency &amp; Methodology Adaptation Reserve (8%)</w:t>
            </w:r>
          </w:p>
        </w:tc>
        <w:tc>
          <w:tcPr/>
          <w:p>
            <w:pPr>
              <w:pStyle w:val="Compact"/>
              <w:jc w:val="left"/>
            </w:pPr>
            <w:r>
              <w:t xml:space="preserve">Applied to items 01–07</w:t>
            </w:r>
          </w:p>
        </w:tc>
        <w:tc>
          <w:tcPr/>
          <w:p>
            <w:pPr>
              <w:pStyle w:val="Compact"/>
              <w:jc w:val="left"/>
            </w:pPr>
            <w:r>
              <w:t xml:space="preserve">—</w:t>
            </w:r>
          </w:p>
        </w:tc>
        <w:tc>
          <w:tcPr/>
          <w:p>
            <w:pPr>
              <w:pStyle w:val="Compact"/>
              <w:jc w:val="left"/>
            </w:pPr>
            <w:r>
              <w:t xml:space="preserve">€8,640.00</w:t>
            </w:r>
          </w:p>
        </w:tc>
      </w:tr>
      <w:tr>
        <w:tc>
          <w:tcPr>
            <w:gridSpan w:val="4"/>
          </w:tcPr>
          <w:p>
            <w:pPr>
              <w:pStyle w:val="Compact"/>
              <w:jc w:val="left"/>
            </w:pPr>
            <w:r>
              <w:t xml:space="preserve">Subtotal (excl. VAT)</w:t>
            </w:r>
          </w:p>
        </w:tc>
        <w:tc>
          <w:tcPr/>
          <w:p>
            <w:pPr>
              <w:pStyle w:val="Compact"/>
              <w:jc w:val="left"/>
            </w:pPr>
            <w:r>
              <w:t xml:space="preserve">€129,200.00</w:t>
            </w:r>
          </w:p>
        </w:tc>
      </w:tr>
      <w:tr>
        <w:tc>
          <w:tcPr>
            <w:gridSpan w:val="4"/>
          </w:tcPr>
          <w:p>
            <w:pPr>
              <w:pStyle w:val="Compact"/>
              <w:jc w:val="left"/>
            </w:pPr>
            <w:r>
              <w:t xml:space="preserve">VAT @ 21% (Netherlands)</w:t>
            </w:r>
          </w:p>
        </w:tc>
        <w:tc>
          <w:tcPr/>
          <w:p>
            <w:pPr>
              <w:pStyle w:val="Compact"/>
              <w:jc w:val="left"/>
            </w:pPr>
            <w:r>
              <w:t xml:space="preserve">€27,132.00</w:t>
            </w:r>
          </w:p>
        </w:tc>
      </w:tr>
      <w:tr>
        <w:tc>
          <w:tcPr>
            <w:gridSpan w:val="4"/>
          </w:tcPr>
          <w:p>
            <w:pPr>
              <w:pStyle w:val="Compact"/>
              <w:jc w:val="left"/>
            </w:pPr>
            <w:r>
              <w:t xml:space="preserve">Grand Total (incl. VAT)</w:t>
            </w:r>
          </w:p>
        </w:tc>
        <w:tc>
          <w:tcPr/>
          <w:p>
            <w:pPr>
              <w:pStyle w:val="Compact"/>
              <w:jc w:val="left"/>
            </w:pPr>
            <w:r>
              <w:t xml:space="preserve">€156,332.00</w:t>
            </w:r>
          </w:p>
        </w:tc>
      </w:tr>
    </w:tbl>
    <w:bookmarkEnd w:id="23"/>
    <w:bookmarkStart w:id="24" w:name="payment-terms-conditions"/>
    <w:p>
      <w:pPr>
        <w:pStyle w:val="Heading2"/>
      </w:pPr>
      <w:r>
        <w:t xml:space="preserve">4. Payment Terms &amp; Conditions</w:t>
      </w:r>
    </w:p>
    <w:p>
      <w:pPr>
        <w:pStyle w:val="FirstParagraph"/>
      </w:pPr>
      <w:r>
        <w:rPr>
          <w:bCs/>
          <w:b/>
        </w:rPr>
        <w:t xml:space="preserve">4.1 Payment Schedule:</w:t>
      </w:r>
      <w:r>
        <w:t xml:space="preserve"> </w:t>
      </w:r>
      <w:r>
        <w:t xml:space="preserve">The total amount specified in this</w:t>
      </w:r>
      <w:r>
        <w:t xml:space="preserve"> </w:t>
      </w:r>
      <w:r>
        <w:t xml:space="preserve">Quotation Estimate</w:t>
      </w:r>
      <w:r>
        <w:t xml:space="preserve"> </w:t>
      </w:r>
      <w:r>
        <w:t xml:space="preserve">shall be invoiced in quarterly instalments. The first invoice (25% of the total) is due within 30 days of contract signature. Subsequent quarterly invoices (25% each) are due within 30 days of the end of each calendar quarter. The final payment is due upon project completion and acceptance of all deliverables.</w:t>
      </w:r>
    </w:p>
    <w:p>
      <w:pPr>
        <w:pStyle w:val="BodyText"/>
      </w:pPr>
      <w:r>
        <w:rPr>
          <w:bCs/>
          <w:b/>
        </w:rPr>
        <w:t xml:space="preserve">4.2 Currency &amp; Tax:</w:t>
      </w:r>
      <w:r>
        <w:t xml:space="preserve"> </w:t>
      </w:r>
      <w:r>
        <w:t xml:space="preserve">All amounts in this</w:t>
      </w:r>
      <w:r>
        <w:t xml:space="preserve"> </w:t>
      </w:r>
      <w:r>
        <w:t xml:space="preserve">Quotation Estimate</w:t>
      </w:r>
      <w:r>
        <w:t xml:space="preserve"> </w:t>
      </w:r>
      <w:r>
        <w:t xml:space="preserve">are denominated in Euros (EUR). Dutch VAT at 21% is included in the grand total. DataScope Analytics B.V. holds a valid Dutch VAT registration number (NL861234567B01) and is registered with the Netherlands Chamber of Commerce (KvK No. 87654321).</w:t>
      </w:r>
    </w:p>
    <w:p>
      <w:pPr>
        <w:pStyle w:val="BodyText"/>
      </w:pPr>
      <w:r>
        <w:rPr>
          <w:bCs/>
          <w:b/>
        </w:rPr>
        <w:t xml:space="preserve">4.3 Validity:</w:t>
      </w:r>
      <w:r>
        <w:t xml:space="preserve"> </w:t>
      </w:r>
      <w:r>
        <w:t xml:space="preserve">This</w:t>
      </w:r>
      <w:r>
        <w:t xml:space="preserve"> </w:t>
      </w:r>
      <w:r>
        <w:t xml:space="preserve">Quotation Estimate</w:t>
      </w:r>
      <w:r>
        <w:t xml:space="preserve"> </w:t>
      </w:r>
      <w:r>
        <w:t xml:space="preserve">is valid for 30 calendar days from the date of issue. Rates for the</w:t>
      </w:r>
      <w:r>
        <w:t xml:space="preserve"> </w:t>
      </w:r>
      <w:r>
        <w:t xml:space="preserve">Statistician</w:t>
      </w:r>
      <w:r>
        <w:t xml:space="preserve"> </w:t>
      </w:r>
      <w:r>
        <w:t xml:space="preserve">team are subject to annual market adjustment in the Netherlands Amsterdam professional services sector. Should the client wish to proceed after the validity period, a revised quotation will be issued.</w:t>
      </w:r>
    </w:p>
    <w:p>
      <w:pPr>
        <w:pStyle w:val="BodyText"/>
      </w:pPr>
      <w:r>
        <w:rPr>
          <w:bCs/>
          <w:b/>
        </w:rPr>
        <w:t xml:space="preserve">4.4 Confidentiality &amp; Data Protection:</w:t>
      </w:r>
      <w:r>
        <w:t xml:space="preserve"> </w:t>
      </w:r>
      <w:r>
        <w:t xml:space="preserve">All statistical data processed under this engagement in the Netherlands Amsterdam region shall be handled in strict accordance with the EU General Data Protection Regulation (GDPR) and the Dutch Implementation Act (UAVG). A separate Data Processing Agreement (DPA) will be executed prior to any data transfer.</w:t>
      </w:r>
    </w:p>
    <w:p>
      <w:pPr>
        <w:pStyle w:val="BodyText"/>
      </w:pPr>
      <w:r>
        <w:rPr>
          <w:bCs/>
          <w:b/>
        </w:rPr>
        <w:t xml:space="preserve">4.5 Intellectual Property:</w:t>
      </w:r>
      <w:r>
        <w:t xml:space="preserve"> </w:t>
      </w:r>
      <w:r>
        <w:t xml:space="preserve">All statistical models, code, reports, and analytical outputs produced by the</w:t>
      </w:r>
      <w:r>
        <w:t xml:space="preserve"> </w:t>
      </w:r>
      <w:r>
        <w:t xml:space="preserve">Statistician</w:t>
      </w:r>
      <w:r>
        <w:t xml:space="preserve"> </w:t>
      </w:r>
      <w:r>
        <w:t xml:space="preserve">team specifically for the client shall become the exclusive property of the Amsterdam Metropolitan Health Authority upon full payment. DataScope Analytics B.V. retains the right to reference the engagement in anonymised portfolio materials.</w:t>
      </w:r>
    </w:p>
    <w:p>
      <w:pPr>
        <w:pStyle w:val="BodyText"/>
      </w:pPr>
      <w:r>
        <w:rPr>
          <w:bCs/>
          <w:b/>
        </w:rPr>
        <w:t xml:space="preserve">4.6 Termination:</w:t>
      </w:r>
      <w:r>
        <w:t xml:space="preserve"> </w:t>
      </w:r>
      <w:r>
        <w:t xml:space="preserve">Either party may terminate the engagement with 60 days' written notice. In the event of early termination, the client shall be liable for all services rendered up to the termination date plus a 10% administrative closure fee.</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Netherlands. Any disputes shall be submitted to the competent courts of Amsterdam, Netherlands.</w:t>
      </w:r>
    </w:p>
    <w:bookmarkEnd w:id="24"/>
    <w:bookmarkStart w:id="25" w:name="acceptance-signature"/>
    <w:p>
      <w:pPr>
        <w:pStyle w:val="Heading2"/>
      </w:pPr>
      <w:r>
        <w:t xml:space="preserve">5. Acceptance &amp; Signature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Statistician</w:t>
      </w:r>
      <w:r>
        <w:t xml:space="preserve"> </w:t>
      </w:r>
      <w:r>
        <w:t xml:space="preserve">team in the Netherlands Amsterdam region.</w:t>
      </w:r>
    </w:p>
    <w:p>
      <w:pPr>
        <w:pStyle w:val="BodyText"/>
      </w:pPr>
      <w:r>
        <w:rPr>
          <w:bCs/>
          <w:b/>
        </w:rPr>
        <w:t xml:space="preserve">For DataScope Analytics B.V.</w:t>
      </w:r>
    </w:p>
    <w:p>
      <w:pPr>
        <w:pStyle w:val="BodyText"/>
      </w:pPr>
      <w:r>
        <w:t xml:space="preserve">Dr. Hendrik van der Berg</w:t>
      </w:r>
    </w:p>
    <w:p>
      <w:pPr>
        <w:pStyle w:val="BodyText"/>
      </w:pPr>
      <w:r>
        <w:t xml:space="preserve">Lead Statistician &amp; Managing Director</w:t>
      </w:r>
    </w:p>
    <w:p>
      <w:pPr>
        <w:pStyle w:val="BodyText"/>
      </w:pPr>
      <w:r>
        <w:t xml:space="preserve">Signature &amp; Date</w:t>
      </w:r>
    </w:p>
    <w:p>
      <w:pPr>
        <w:pStyle w:val="BodyText"/>
      </w:pPr>
      <w:r>
        <w:rPr>
          <w:bCs/>
          <w:b/>
        </w:rPr>
        <w:t xml:space="preserve">For Amsterdam Metropolitan Health Authority</w:t>
      </w:r>
    </w:p>
    <w:p>
      <w:pPr>
        <w:pStyle w:val="BodyText"/>
      </w:pPr>
      <w:r>
        <w:t xml:space="preserve">_____________________________</w:t>
      </w:r>
    </w:p>
    <w:p>
      <w:pPr>
        <w:pStyle w:val="BodyText"/>
      </w:pPr>
      <w:r>
        <w:t xml:space="preserve">Name &amp; Title</w:t>
      </w:r>
    </w:p>
    <w:p>
      <w:pPr>
        <w:pStyle w:val="BodyText"/>
      </w:pPr>
      <w:r>
        <w:t xml:space="preserve">Signature &amp; Date</w:t>
      </w:r>
    </w:p>
    <w:p>
      <w:pPr>
        <w:pStyle w:val="BodyText"/>
      </w:pPr>
      <w:r>
        <w:t xml:space="preserve">DataScope Analytics B.V. — Herengracht 450, 1017 CA Amsterdam, Netherlands — KvK: 87654321 — VAT: NL861234567B01</w:t>
      </w:r>
    </w:p>
    <w:p>
      <w:pPr>
        <w:pStyle w:val="BodyText"/>
      </w:pPr>
      <w:r>
        <w:t xml:space="preserve">Quotation Estimate Ref: QE-2025-AMST-0472 — Page 1 of 1 —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Netherlands Amsterdam</dc:title>
  <dc:creator/>
  <dc:language>en</dc:language>
  <cp:keywords/>
  <dcterms:created xsi:type="dcterms:W3CDTF">2026-10-10T03:35:41Z</dcterms:created>
  <dcterms:modified xsi:type="dcterms:W3CDTF">2026-10-10T03:35:41Z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