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Statistician Services — Peru Lima</w:t>
      </w:r>
    </w:p>
    <w:p>
      <w:pPr>
        <w:pStyle w:val="BodyText"/>
      </w:pPr>
      <w:r>
        <w:t xml:space="preserve">Document Reference: QE-PL-2025-0047 | Validity: 30 Calendar Days</w:t>
      </w:r>
    </w:p>
    <w:bookmarkEnd w:id="20"/>
    <w:p>
      <w:pPr>
        <w:pStyle w:val="BodyText"/>
      </w:pPr>
      <w:r>
        <w:rPr>
          <w:bCs/>
          <w:b/>
        </w:rPr>
        <w:t xml:space="preserve">Prepared By:</w:t>
      </w:r>
      <w:r>
        <w:br/>
      </w:r>
      <w:r>
        <w:t xml:space="preserve">Andean Statistical Consulting S.A.C.</w:t>
      </w:r>
      <w:r>
        <w:br/>
      </w:r>
      <w:r>
        <w:t xml:space="preserve">Av. Javier Prado Este 1245, San Isidro</w:t>
      </w:r>
      <w:r>
        <w:br/>
      </w:r>
      <w:r>
        <w:t xml:space="preserve">Lima, Peru</w:t>
      </w:r>
      <w:r>
        <w:br/>
      </w:r>
      <w:r>
        <w:t xml:space="preserve">RUC: 20601234567</w:t>
      </w:r>
      <w:r>
        <w:br/>
      </w:r>
      <w:r>
        <w:t xml:space="preserve">Contact: quotes@andeanstats.pe</w:t>
      </w:r>
    </w:p>
    <w:p>
      <w:pPr>
        <w:pStyle w:val="BodyText"/>
      </w:pPr>
      <w:r>
        <w:rPr>
          <w:bCs/>
          <w:b/>
        </w:rPr>
        <w:t xml:space="preserve">Prepared For:</w:t>
      </w:r>
      <w:r>
        <w:br/>
      </w:r>
      <w:r>
        <w:t xml:space="preserve">[Client Name / Organization]</w:t>
      </w:r>
      <w:r>
        <w:br/>
      </w:r>
      <w:r>
        <w:t xml:space="preserve">[Client Address]</w:t>
      </w:r>
      <w:r>
        <w:br/>
      </w:r>
      <w:r>
        <w:t xml:space="preserve">Lima, Peru</w:t>
      </w:r>
      <w:r>
        <w:br/>
      </w:r>
      <w:r>
        <w:t xml:space="preserve">Contact: [Client Email]</w:t>
      </w:r>
    </w:p>
    <w:p>
      <w:pPr>
        <w:pStyle w:val="BodyText"/>
      </w:pPr>
      <w:r>
        <w:rPr>
          <w:bCs/>
          <w:b/>
        </w:rPr>
        <w:t xml:space="preserve">Date of Issue:</w:t>
      </w:r>
      <w:r>
        <w:br/>
      </w:r>
      <w:r>
        <w:t xml:space="preserve">June 15, 2025</w:t>
      </w:r>
      <w:r>
        <w:br/>
      </w:r>
      <w:r>
        <w:br/>
      </w:r>
      <w:r>
        <w:rPr>
          <w:bCs/>
          <w:b/>
        </w:rPr>
        <w:t xml:space="preserve">Quotation No.:</w:t>
      </w:r>
      <w:r>
        <w:br/>
      </w:r>
      <w:r>
        <w:t xml:space="preserve">QE-PL-2025-0047</w:t>
      </w:r>
    </w:p>
    <w:bookmarkStart w:id="21" w:name="Xc287c081455dd3be1703efa150180c6195fcae6"/>
    <w:p>
      <w:pPr>
        <w:pStyle w:val="Heading2"/>
      </w:pPr>
      <w:r>
        <w:t xml:space="preserve">1. Scope of Services — Statistician Engagement in Peru Lima</w:t>
      </w:r>
    </w:p>
    <w:p>
      <w:pPr>
        <w:pStyle w:val="FirstParagraph"/>
      </w:pPr>
      <w:r>
        <w:t xml:space="preserve">This</w:t>
      </w:r>
      <w:r>
        <w:t xml:space="preserve"> </w:t>
      </w:r>
      <w:r>
        <w:t xml:space="preserve">Quotation Estimate</w:t>
      </w:r>
      <w:r>
        <w:t xml:space="preserve"> </w:t>
      </w:r>
      <w:r>
        <w:t xml:space="preserve">is issued by Andean Statistical Consulting S.A.C. to formally outline the professional fees, deliverables, and terms associated with the engagement of a certified</w:t>
      </w:r>
      <w:r>
        <w:t xml:space="preserve"> </w:t>
      </w:r>
      <w:r>
        <w:t xml:space="preserve">Statistician</w:t>
      </w:r>
      <w:r>
        <w:t xml:space="preserve"> </w:t>
      </w:r>
      <w:r>
        <w:t xml:space="preserve">to provide comprehensive data analysis, modeling, and reporting services within the metropolitan area of</w:t>
      </w:r>
      <w:r>
        <w:t xml:space="preserve"> </w:t>
      </w:r>
      <w:r>
        <w:t xml:space="preserve">Peru Lima</w:t>
      </w:r>
      <w:r>
        <w:t xml:space="preserve">. This document serves as a binding financial proposal and shall remain valid for thirty (30) calendar days from the date of issue. All services described herein will be executed in accordance with Peruvian regulatory standards, including compliance with the Superintendencia Nacional de Aduanas y de Administración Tributaria (SUNAT) tax obligations applicable in the Lima region.</w:t>
      </w:r>
    </w:p>
    <w:p>
      <w:pPr>
        <w:pStyle w:val="BodyText"/>
      </w:pPr>
      <w:r>
        <w:t xml:space="preserve">The</w:t>
      </w:r>
      <w:r>
        <w:t xml:space="preserve"> </w:t>
      </w:r>
      <w:r>
        <w:t xml:space="preserve">Statistician</w:t>
      </w:r>
      <w:r>
        <w:t xml:space="preserve"> </w:t>
      </w:r>
      <w:r>
        <w:t xml:space="preserve">assigned to this engagement holds a Master's degree in Applied Statistics from the Pontificia Universidad Católica del Perú (PUCP) and possesses over twelve years of professional experience conducting quantitative research, econometric modeling, and biostatistical analysis for clients operating in the Lima metropolitan corridor. The</w:t>
      </w:r>
      <w:r>
        <w:t xml:space="preserve"> </w:t>
      </w:r>
      <w:r>
        <w:t xml:space="preserve">Statistician</w:t>
      </w:r>
      <w:r>
        <w:t xml:space="preserve"> </w:t>
      </w:r>
      <w:r>
        <w:t xml:space="preserve">is registered with the Colegio de Estadísticos del Perú and maintains full professional liability insurance valid throughout the Lima metropolitan area.</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Rate (PEN)</w:t>
            </w:r>
          </w:p>
        </w:tc>
        <w:tc>
          <w:tcPr/>
          <w:p>
            <w:pPr>
              <w:pStyle w:val="Compact"/>
              <w:jc w:val="left"/>
            </w:pPr>
            <w:r>
              <w:t xml:space="preserve">Subtotal (PEN)</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consultation and data audit at client premises in Lima, Peru. The Statistician will assess existing datasets, identify gaps, and define the analytical framework.</w:t>
            </w:r>
          </w:p>
        </w:tc>
        <w:tc>
          <w:tcPr/>
          <w:p>
            <w:pPr>
              <w:pStyle w:val="Compact"/>
              <w:jc w:val="left"/>
            </w:pPr>
            <w:r>
              <w:t xml:space="preserve">1 session (4 hrs)</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On-site, San Isidro / Miraflores</w:t>
            </w:r>
          </w:p>
        </w:tc>
      </w:tr>
      <w:tr>
        <w:tc>
          <w:tcPr/>
          <w:p>
            <w:pPr>
              <w:pStyle w:val="Compact"/>
              <w:jc w:val="left"/>
            </w:pPr>
            <w:r>
              <w:t xml:space="preserve">2</w:t>
            </w:r>
          </w:p>
        </w:tc>
        <w:tc>
          <w:tcPr/>
          <w:p>
            <w:pPr>
              <w:pStyle w:val="Compact"/>
              <w:jc w:val="left"/>
            </w:pPr>
            <w:r>
              <w:t xml:space="preserve">Design and implementation of a multivariate statistical model tailored to the client's operational data. Includes regression analysis, ANOVA, and predictive modeling.</w:t>
            </w:r>
          </w:p>
        </w:tc>
        <w:tc>
          <w:tcPr/>
          <w:p>
            <w:pPr>
              <w:pStyle w:val="Compact"/>
              <w:jc w:val="left"/>
            </w:pPr>
            <w:r>
              <w:t xml:space="preserve">3 weeks</w:t>
            </w:r>
          </w:p>
        </w:tc>
        <w:tc>
          <w:tcPr/>
          <w:p>
            <w:pPr>
              <w:pStyle w:val="Compact"/>
              <w:jc w:val="left"/>
            </w:pPr>
            <w:r>
              <w:t xml:space="preserve">12,500.00</w:t>
            </w:r>
          </w:p>
        </w:tc>
        <w:tc>
          <w:tcPr/>
          <w:p>
            <w:pPr>
              <w:pStyle w:val="Compact"/>
              <w:jc w:val="left"/>
            </w:pPr>
            <w:r>
              <w:t xml:space="preserve">37,500.00</w:t>
            </w:r>
          </w:p>
        </w:tc>
        <w:tc>
          <w:tcPr/>
          <w:p>
            <w:pPr>
              <w:pStyle w:val="Compact"/>
              <w:jc w:val="left"/>
            </w:pPr>
            <w:r>
              <w:t xml:space="preserve">Remote + 2 on-site visits in Lima</w:t>
            </w:r>
          </w:p>
        </w:tc>
      </w:tr>
      <w:tr>
        <w:tc>
          <w:tcPr/>
          <w:p>
            <w:pPr>
              <w:pStyle w:val="Compact"/>
              <w:jc w:val="left"/>
            </w:pPr>
            <w:r>
              <w:t xml:space="preserve">3</w:t>
            </w:r>
          </w:p>
        </w:tc>
        <w:tc>
          <w:tcPr/>
          <w:p>
            <w:pPr>
              <w:pStyle w:val="Compact"/>
              <w:jc w:val="left"/>
            </w:pPr>
            <w:r>
              <w:t xml:space="preserve">Development of a comprehensive statistical report (minimum 40 pages) with visualizations, confidence intervals, and actionable recommendations for decision-makers in Peru Lima.</w:t>
            </w:r>
          </w:p>
        </w:tc>
        <w:tc>
          <w:tcPr/>
          <w:p>
            <w:pPr>
              <w:pStyle w:val="Compact"/>
              <w:jc w:val="left"/>
            </w:pPr>
            <w:r>
              <w:t xml:space="preserve">1 deliverable</w:t>
            </w:r>
          </w:p>
        </w:tc>
        <w:tc>
          <w:tcPr/>
          <w:p>
            <w:pPr>
              <w:pStyle w:val="Compact"/>
              <w:jc w:val="left"/>
            </w:pPr>
            <w:r>
              <w:t xml:space="preserve">8,200.00</w:t>
            </w:r>
          </w:p>
        </w:tc>
        <w:tc>
          <w:tcPr/>
          <w:p>
            <w:pPr>
              <w:pStyle w:val="Compact"/>
              <w:jc w:val="left"/>
            </w:pPr>
            <w:r>
              <w:t xml:space="preserve">8,200.00</w:t>
            </w:r>
          </w:p>
        </w:tc>
        <w:tc>
          <w:tcPr/>
          <w:p>
            <w:pPr>
              <w:pStyle w:val="Compact"/>
              <w:jc w:val="left"/>
            </w:pPr>
            <w:r>
              <w:t xml:space="preserve">Delivered in PDF and editable format</w:t>
            </w:r>
          </w:p>
        </w:tc>
      </w:tr>
      <w:tr>
        <w:tc>
          <w:tcPr/>
          <w:p>
            <w:pPr>
              <w:pStyle w:val="Compact"/>
              <w:jc w:val="left"/>
            </w:pPr>
            <w:r>
              <w:t xml:space="preserve">4</w:t>
            </w:r>
          </w:p>
        </w:tc>
        <w:tc>
          <w:tcPr/>
          <w:p>
            <w:pPr>
              <w:pStyle w:val="Compact"/>
              <w:jc w:val="left"/>
            </w:pPr>
            <w:r>
              <w:t xml:space="preserve">Training workshop for client staff (up to 15 participants) on interpreting statistical outputs and basic data literacy. Conducted at client's office in Lima.</w:t>
            </w:r>
          </w:p>
        </w:tc>
        <w:tc>
          <w:tcPr/>
          <w:p>
            <w:pPr>
              <w:pStyle w:val="Compact"/>
              <w:jc w:val="left"/>
            </w:pPr>
            <w:r>
              <w:t xml:space="preserve">1 day (6 hrs)</w:t>
            </w:r>
          </w:p>
        </w:tc>
        <w:tc>
          <w:tcPr/>
          <w:p>
            <w:pPr>
              <w:pStyle w:val="Compact"/>
              <w:jc w:val="left"/>
            </w:pPr>
            <w:r>
              <w:t xml:space="preserve">5,500.00</w:t>
            </w:r>
          </w:p>
        </w:tc>
        <w:tc>
          <w:tcPr/>
          <w:p>
            <w:pPr>
              <w:pStyle w:val="Compact"/>
              <w:jc w:val="left"/>
            </w:pPr>
            <w:r>
              <w:t xml:space="preserve">5,500.00</w:t>
            </w:r>
          </w:p>
        </w:tc>
        <w:tc>
          <w:tcPr/>
          <w:p>
            <w:pPr>
              <w:pStyle w:val="Compact"/>
              <w:jc w:val="left"/>
            </w:pPr>
            <w:r>
              <w:t xml:space="preserve">Materials included</w:t>
            </w:r>
          </w:p>
        </w:tc>
      </w:tr>
      <w:tr>
        <w:tc>
          <w:tcPr/>
          <w:p>
            <w:pPr>
              <w:pStyle w:val="Compact"/>
              <w:jc w:val="left"/>
            </w:pPr>
            <w:r>
              <w:t xml:space="preserve">5</w:t>
            </w:r>
          </w:p>
        </w:tc>
        <w:tc>
          <w:tcPr/>
          <w:p>
            <w:pPr>
              <w:pStyle w:val="Compact"/>
              <w:jc w:val="left"/>
            </w:pPr>
            <w:r>
              <w:t xml:space="preserve">Ongoing advisory support and model recalibration. The Statistician provides monthly check-ins and adjusts the analytical model based on new data streams from the Peru Lima market.</w:t>
            </w:r>
          </w:p>
        </w:tc>
        <w:tc>
          <w:tcPr/>
          <w:p>
            <w:pPr>
              <w:pStyle w:val="Compact"/>
              <w:jc w:val="left"/>
            </w:pPr>
            <w:r>
              <w:t xml:space="preserve">3 months</w:t>
            </w:r>
          </w:p>
        </w:tc>
        <w:tc>
          <w:tcPr/>
          <w:p>
            <w:pPr>
              <w:pStyle w:val="Compact"/>
              <w:jc w:val="left"/>
            </w:pPr>
            <w:r>
              <w:t xml:space="preserve">6,000.00</w:t>
            </w:r>
          </w:p>
        </w:tc>
        <w:tc>
          <w:tcPr/>
          <w:p>
            <w:pPr>
              <w:pStyle w:val="Compact"/>
              <w:jc w:val="left"/>
            </w:pPr>
            <w:r>
              <w:t xml:space="preserve">18,000.00</w:t>
            </w:r>
          </w:p>
        </w:tc>
        <w:tc>
          <w:tcPr/>
          <w:p>
            <w:pPr>
              <w:pStyle w:val="Compact"/>
              <w:jc w:val="left"/>
            </w:pPr>
            <w:r>
              <w:t xml:space="preserve">Virtual + 1 on-site per month</w:t>
            </w:r>
          </w:p>
        </w:tc>
      </w:tr>
      <w:tr>
        <w:tc>
          <w:tcPr/>
          <w:p>
            <w:pPr>
              <w:pStyle w:val="Compact"/>
              <w:jc w:val="left"/>
            </w:pPr>
            <w:r>
              <w:t xml:space="preserve">6</w:t>
            </w:r>
          </w:p>
        </w:tc>
        <w:tc>
          <w:tcPr/>
          <w:p>
            <w:pPr>
              <w:pStyle w:val="Compact"/>
              <w:jc w:val="left"/>
            </w:pPr>
            <w:r>
              <w:t xml:space="preserve">Software licensing and computational resources (R, Python, SPSS) for the duration of the project, including cloud server access hosted in Lima, Peru.</w:t>
            </w:r>
          </w:p>
        </w:tc>
        <w:tc>
          <w:tcPr/>
          <w:p>
            <w:pPr>
              <w:pStyle w:val="Compact"/>
              <w:jc w:val="left"/>
            </w:pPr>
            <w:r>
              <w:t xml:space="preserve">4 months</w:t>
            </w:r>
          </w:p>
        </w:tc>
        <w:tc>
          <w:tcPr/>
          <w:p>
            <w:pPr>
              <w:pStyle w:val="Compact"/>
              <w:jc w:val="left"/>
            </w:pPr>
            <w:r>
              <w:t xml:space="preserve">2,200.00</w:t>
            </w:r>
          </w:p>
        </w:tc>
        <w:tc>
          <w:tcPr/>
          <w:p>
            <w:pPr>
              <w:pStyle w:val="Compact"/>
              <w:jc w:val="left"/>
            </w:pPr>
            <w:r>
              <w:t xml:space="preserve">8,800.00</w:t>
            </w:r>
          </w:p>
        </w:tc>
        <w:tc>
          <w:tcPr/>
          <w:p>
            <w:pPr>
              <w:pStyle w:val="Compact"/>
              <w:jc w:val="left"/>
            </w:pPr>
            <w:r>
              <w:t xml:space="preserve">Per-month allocation</w:t>
            </w:r>
          </w:p>
        </w:tc>
      </w:tr>
      <w:tr>
        <w:tc>
          <w:tcPr/>
          <w:p>
            <w:pPr>
              <w:pStyle w:val="Compact"/>
              <w:jc w:val="left"/>
            </w:pPr>
            <w:r>
              <w:t xml:space="preserve">7</w:t>
            </w:r>
          </w:p>
        </w:tc>
        <w:tc>
          <w:tcPr/>
          <w:p>
            <w:pPr>
              <w:pStyle w:val="Compact"/>
              <w:jc w:val="left"/>
            </w:pPr>
            <w:r>
              <w:t xml:space="preserve">Travel and logistics within the Lima metropolitan area for on-site visits, including transportation and per diem as per Peruvian corporate travel policy.</w:t>
            </w:r>
          </w:p>
        </w:tc>
        <w:tc>
          <w:tcPr/>
          <w:p>
            <w:pPr>
              <w:pStyle w:val="Compact"/>
              <w:jc w:val="left"/>
            </w:pPr>
            <w:r>
              <w:t xml:space="preserve">6 visits</w:t>
            </w:r>
          </w:p>
        </w:tc>
        <w:tc>
          <w:tcPr/>
          <w:p>
            <w:pPr>
              <w:pStyle w:val="Compact"/>
              <w:jc w:val="left"/>
            </w:pPr>
            <w:r>
              <w:t xml:space="preserve">450.00</w:t>
            </w:r>
          </w:p>
        </w:tc>
        <w:tc>
          <w:tcPr/>
          <w:p>
            <w:pPr>
              <w:pStyle w:val="Compact"/>
              <w:jc w:val="left"/>
            </w:pPr>
            <w:r>
              <w:t xml:space="preserve">2,700.00</w:t>
            </w:r>
          </w:p>
        </w:tc>
        <w:tc>
          <w:tcPr/>
          <w:p>
            <w:pPr>
              <w:pStyle w:val="Compact"/>
              <w:jc w:val="left"/>
            </w:pPr>
            <w:r>
              <w:t xml:space="preserve">Lima metro area only</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right"/>
            </w:pPr>
            <w:r>
              <w:t xml:space="preserve">Subtotal (PEN):</w:t>
            </w:r>
          </w:p>
        </w:tc>
        <w:tc>
          <w:tcPr>
            <w:gridSpan w:val="2"/>
          </w:tcPr>
          <w:p>
            <w:pPr>
              <w:pStyle w:val="Compact"/>
              <w:jc w:val="left"/>
            </w:pPr>
            <w:r>
              <w:t xml:space="preserve">82,500.00</w:t>
            </w:r>
          </w:p>
        </w:tc>
      </w:tr>
      <w:tr>
        <w:tc>
          <w:tcPr>
            <w:gridSpan w:val="4"/>
          </w:tcPr>
          <w:p>
            <w:pPr>
              <w:pStyle w:val="Compact"/>
              <w:jc w:val="right"/>
            </w:pPr>
            <w:r>
              <w:t xml:space="preserve">IGV (18% Peruvian VAT):</w:t>
            </w:r>
          </w:p>
        </w:tc>
        <w:tc>
          <w:tcPr>
            <w:gridSpan w:val="2"/>
          </w:tcPr>
          <w:p>
            <w:pPr>
              <w:pStyle w:val="Compact"/>
              <w:jc w:val="left"/>
            </w:pPr>
            <w:r>
              <w:t xml:space="preserve">14,850.00</w:t>
            </w:r>
          </w:p>
        </w:tc>
      </w:tr>
      <w:tr>
        <w:tc>
          <w:tcPr>
            <w:gridSpan w:val="4"/>
          </w:tcPr>
          <w:p>
            <w:pPr>
              <w:pStyle w:val="Compact"/>
              <w:jc w:val="right"/>
            </w:pPr>
            <w:r>
              <w:t xml:space="preserve">TOTAL QUOTATION ESTIMATE (PEN):</w:t>
            </w:r>
          </w:p>
        </w:tc>
        <w:tc>
          <w:tcPr>
            <w:gridSpan w:val="2"/>
          </w:tcPr>
          <w:p>
            <w:pPr>
              <w:pStyle w:val="Compact"/>
              <w:jc w:val="left"/>
            </w:pPr>
            <w:r>
              <w:t xml:space="preserve">97,350.00</w:t>
            </w:r>
          </w:p>
        </w:tc>
      </w:tr>
      <w:tr>
        <w:tc>
          <w:tcPr>
            <w:gridSpan w:val="4"/>
          </w:tcPr>
          <w:p>
            <w:pPr>
              <w:pStyle w:val="Compact"/>
              <w:jc w:val="right"/>
            </w:pPr>
            <w:r>
              <w:t xml:space="preserve">Approximate USD equivalent (rate 3.75):</w:t>
            </w:r>
          </w:p>
        </w:tc>
        <w:tc>
          <w:tcPr>
            <w:gridSpan w:val="2"/>
          </w:tcPr>
          <w:p>
            <w:pPr>
              <w:pStyle w:val="Compact"/>
              <w:jc w:val="left"/>
            </w:pPr>
            <w:r>
              <w:t xml:space="preserve">USD 25,960.00</w:t>
            </w:r>
          </w:p>
        </w:tc>
      </w:tr>
    </w:tbl>
    <w:bookmarkEnd w:id="22"/>
    <w:bookmarkStart w:id="23" w:name="payment-terms-and-conditions"/>
    <w:p>
      <w:pPr>
        <w:pStyle w:val="Heading2"/>
      </w:pPr>
      <w:r>
        <w:t xml:space="preserve">3. Payment Terms and Conditions</w:t>
      </w:r>
    </w:p>
    <w:p>
      <w:pPr>
        <w:pStyle w:val="FirstParagraph"/>
      </w:pPr>
      <w:r>
        <w:t xml:space="preserve">This</w:t>
      </w:r>
      <w:r>
        <w:t xml:space="preserve"> </w:t>
      </w:r>
      <w:r>
        <w:t xml:space="preserve">Quotation Estimate</w:t>
      </w:r>
      <w:r>
        <w:t xml:space="preserve"> </w:t>
      </w:r>
      <w:r>
        <w:t xml:space="preserve">for</w:t>
      </w:r>
      <w:r>
        <w:t xml:space="preserve"> </w:t>
      </w:r>
      <w:r>
        <w:t xml:space="preserve">Statistician</w:t>
      </w:r>
      <w:r>
        <w:t xml:space="preserve"> </w:t>
      </w:r>
      <w:r>
        <w:t xml:space="preserve">services in</w:t>
      </w:r>
      <w:r>
        <w:t xml:space="preserve"> </w:t>
      </w:r>
      <w:r>
        <w:t xml:space="preserve">Peru Lima</w:t>
      </w:r>
      <w:r>
        <w:t xml:space="preserve"> </w:t>
      </w:r>
      <w:r>
        <w:t xml:space="preserve">is subject to the following payment schedule:</w:t>
      </w:r>
    </w:p>
    <w:p>
      <w:pPr>
        <w:numPr>
          <w:ilvl w:val="0"/>
          <w:numId w:val="1001"/>
        </w:numPr>
        <w:pStyle w:val="Compact"/>
      </w:pPr>
      <w:r>
        <w:rPr>
          <w:bCs/>
          <w:b/>
        </w:rPr>
        <w:t xml:space="preserve">30% advance payment</w:t>
      </w:r>
      <w:r>
        <w:t xml:space="preserve"> </w:t>
      </w:r>
      <w:r>
        <w:t xml:space="preserve">(PEN 29,205.00) due upon signed acceptance of this Quotation Estimate, prior to the commencement of any work by the Statistician.</w:t>
      </w:r>
    </w:p>
    <w:p>
      <w:pPr>
        <w:numPr>
          <w:ilvl w:val="0"/>
          <w:numId w:val="1001"/>
        </w:numPr>
        <w:pStyle w:val="Compact"/>
      </w:pPr>
      <w:r>
        <w:rPr>
          <w:bCs/>
          <w:b/>
        </w:rPr>
        <w:t xml:space="preserve">40% milestone payment</w:t>
      </w:r>
      <w:r>
        <w:t xml:space="preserve"> </w:t>
      </w:r>
      <w:r>
        <w:t xml:space="preserve">(PEN 38,940.00) due upon delivery and client approval of the comprehensive statistical report.</w:t>
      </w:r>
    </w:p>
    <w:p>
      <w:pPr>
        <w:numPr>
          <w:ilvl w:val="0"/>
          <w:numId w:val="1001"/>
        </w:numPr>
        <w:pStyle w:val="Compact"/>
      </w:pPr>
      <w:r>
        <w:rPr>
          <w:bCs/>
          <w:b/>
        </w:rPr>
        <w:t xml:space="preserve">30% final payment</w:t>
      </w:r>
      <w:r>
        <w:t xml:space="preserve"> </w:t>
      </w:r>
      <w:r>
        <w:t xml:space="preserve">(PEN 29,205.00) due upon completion of the three-month advisory period and final acceptance of all deliverables.</w:t>
      </w:r>
    </w:p>
    <w:p>
      <w:pPr>
        <w:pStyle w:val="FirstParagraph"/>
      </w:pPr>
      <w:r>
        <w:t xml:space="preserve">All payments shall be made via bank transfer to the account of Andean Statistical Consulting S.A.C. at Banco de Crédito del Perú (BCP), Lima branch. Invoices will be issued in compliance with SUNAT electronic invoicing requirements (facturación electrónica) as mandated for all commercial transactions in Peru Lima.</w:t>
      </w:r>
    </w:p>
    <w:bookmarkEnd w:id="23"/>
    <w:bookmarkStart w:id="25" w:name="X985eb999f0cfcda5f1af1a675bf0b7c2e0a6c64"/>
    <w:p>
      <w:pPr>
        <w:pStyle w:val="Heading2"/>
      </w:pPr>
      <w:r>
        <w:t xml:space="preserve">4. Terms and Conditions of This Quotation Estimate</w:t>
      </w:r>
    </w:p>
    <w:bookmarkStart w:id="24" w:name="X5d3c99b4a37267f07f28e89cca123b49692d3e2"/>
    <w:p>
      <w:pPr>
        <w:pStyle w:val="Heading3"/>
      </w:pPr>
      <w:r>
        <w:t xml:space="preserve">Important Conditions Governing This Statistician Engagement in Peru Lima</w:t>
      </w:r>
    </w:p>
    <w:p>
      <w:pPr>
        <w:numPr>
          <w:ilvl w:val="0"/>
          <w:numId w:val="1002"/>
        </w:numPr>
        <w:pStyle w:val="Compact"/>
      </w:pPr>
      <w:r>
        <w:t xml:space="preserve">This Quotation Estimate is valid for thirty (30) calendar days from the date of issue. After this period, pricing may be adjusted to reflect changes in the Peruvian market, exchange rates, or resource availability in Lima.</w:t>
      </w:r>
    </w:p>
    <w:p>
      <w:pPr>
        <w:numPr>
          <w:ilvl w:val="0"/>
          <w:numId w:val="1002"/>
        </w:numPr>
        <w:pStyle w:val="Compact"/>
      </w:pPr>
      <w:r>
        <w:t xml:space="preserve">The Statistician reserves the right to decline or modify the scope of work if the client's data does not meet minimum quality thresholds required for valid statistical inference.</w:t>
      </w:r>
    </w:p>
    <w:p>
      <w:pPr>
        <w:numPr>
          <w:ilvl w:val="0"/>
          <w:numId w:val="1002"/>
        </w:numPr>
        <w:pStyle w:val="Compact"/>
      </w:pPr>
      <w:r>
        <w:t xml:space="preserve">All intellectual property generated by the Statistician during the engagement, including models, code, and reports, shall transfer to the client upon full payment of this Quotation Estimate.</w:t>
      </w:r>
    </w:p>
    <w:p>
      <w:pPr>
        <w:numPr>
          <w:ilvl w:val="0"/>
          <w:numId w:val="1002"/>
        </w:numPr>
        <w:pStyle w:val="Compact"/>
      </w:pPr>
      <w:r>
        <w:t xml:space="preserve">Confidentiality: The Statistician and Andean Statistical Consulting S.A.C. shall maintain strict confidentiality of all data, findings, and business information shared by the client, in accordance with Peruvian data protection law (Ley N° 29733).</w:t>
      </w:r>
    </w:p>
    <w:p>
      <w:pPr>
        <w:numPr>
          <w:ilvl w:val="0"/>
          <w:numId w:val="1002"/>
        </w:numPr>
        <w:pStyle w:val="Compact"/>
      </w:pPr>
      <w:r>
        <w:t xml:space="preserve">Force Majeure: Neither party shall be liable for delays caused by events beyond reasonable control, including but not limited to natural disasters affecting the Lima region, government-mandated closures, or systemic IT failures.</w:t>
      </w:r>
    </w:p>
    <w:p>
      <w:pPr>
        <w:numPr>
          <w:ilvl w:val="0"/>
          <w:numId w:val="1002"/>
        </w:numPr>
        <w:pStyle w:val="Compact"/>
      </w:pPr>
      <w:r>
        <w:t xml:space="preserve">Dispute Resolution: Any disputes arising from this Quotation Estimate shall be resolved through mediation in the city of Lima, Peru, in accordance with the Peruvian Civil Code. If mediation fails, the parties agree to binding arbitration before the Centro de Arbitraje y Conciliación de la Cámara de Comercio de Lima.</w:t>
      </w:r>
    </w:p>
    <w:p>
      <w:pPr>
        <w:numPr>
          <w:ilvl w:val="0"/>
          <w:numId w:val="1002"/>
        </w:numPr>
        <w:pStyle w:val="Compact"/>
      </w:pPr>
      <w:r>
        <w:t xml:space="preserve">This Quotation Estimate does not constitute a contract until countersigned by both parties. Upon signature, it becomes a binding agreement for the Statistician services described herein.</w:t>
      </w:r>
    </w:p>
    <w:bookmarkEnd w:id="24"/>
    <w:bookmarkEnd w:id="25"/>
    <w:bookmarkStart w:id="26"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engagement of the</w:t>
      </w:r>
      <w:r>
        <w:t xml:space="preserve"> </w:t>
      </w:r>
      <w:r>
        <w:t xml:space="preserve">Statistician</w:t>
      </w:r>
      <w:r>
        <w:t xml:space="preserve"> </w:t>
      </w:r>
      <w:r>
        <w:t xml:space="preserve">to deliver professional statistical services in</w:t>
      </w:r>
      <w:r>
        <w:t xml:space="preserve"> </w:t>
      </w:r>
      <w:r>
        <w:t xml:space="preserve">Peru Lima</w:t>
      </w:r>
      <w:r>
        <w:t xml:space="preserve">.</w:t>
      </w:r>
    </w:p>
    <w:p>
      <w:pPr>
        <w:pStyle w:val="BodyText"/>
      </w:pPr>
      <w:r>
        <w:rPr>
          <w:bCs/>
          <w:b/>
        </w:rPr>
        <w:t xml:space="preserve">For Andean Statistical Consulting S.A.C.</w:t>
      </w:r>
      <w:r>
        <w:br/>
      </w:r>
      <w:r>
        <w:t xml:space="preserve">Name: Dr. Ricardo Mendoza Salas</w:t>
      </w:r>
      <w:r>
        <w:br/>
      </w:r>
      <w:r>
        <w:t xml:space="preserve">Title: Lead Statistician / Director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(Ref. QE-PL-2025-0047) was prepared exclusively for the client named herein and may not be reproduced or distributed without written consent from Andean Statistical Consulting S.A.C.</w:t>
      </w:r>
      <w:r>
        <w:br/>
      </w:r>
      <w:r>
        <w:t xml:space="preserve">© 2025 Andean Statistical Consulting S.A.C. | Lima, Peru | All Rights Reserved.</w:t>
      </w:r>
      <w:r>
        <w:br/>
      </w:r>
      <w:r>
        <w:t xml:space="preserve">This document is issued in accordance with Peruvian commercial law and SUNAT regulatory requirements for the Lima metropolitan area.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Peru Lima</dc:title>
  <dc:creator/>
  <dc:language>en</dc:language>
  <cp:keywords/>
  <dcterms:created xsi:type="dcterms:W3CDTF">2026-10-10T02:09:34Z</dcterms:created>
  <dcterms:modified xsi:type="dcterms:W3CDTF">2026-10-10T02:09:34Z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