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quotation-estimate"/>
    <w:p>
      <w:pPr>
        <w:pStyle w:val="Heading1"/>
      </w:pPr>
      <w:r>
        <w:t xml:space="preserve">Quotation Estimate</w:t>
      </w:r>
    </w:p>
    <w:p>
      <w:pPr>
        <w:pStyle w:val="FirstParagraph"/>
      </w:pPr>
      <w:r>
        <w:t xml:space="preserve">Professional Statistician Services</w:t>
      </w:r>
    </w:p>
    <w:p>
      <w:pPr>
        <w:pStyle w:val="BodyText"/>
      </w:pPr>
      <w:r>
        <w:t xml:space="preserve">Qatar Doha | State of Qatar</w:t>
      </w:r>
    </w:p>
    <w:p>
      <w:pPr>
        <w:pStyle w:val="BodyText"/>
      </w:pPr>
      <w:r>
        <w:t xml:space="preserve">Document Reference: QE-STAT-QD-2025-0047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Quotation Validity</w:t>
            </w:r>
          </w:p>
        </w:tc>
        <w:tc>
          <w:tcPr/>
          <w:p>
            <w:pPr>
              <w:pStyle w:val="Compact"/>
              <w:jc w:val="left"/>
            </w:pPr>
            <w:r>
              <w:t xml:space="preserve">30 days from date of issue</w:t>
            </w:r>
          </w:p>
        </w:tc>
      </w:tr>
      <w:tr>
        <w:tc>
          <w:tcPr/>
          <w:p>
            <w:pPr>
              <w:pStyle w:val="Compact"/>
              <w:jc w:val="left"/>
            </w:pPr>
            <w:r>
              <w:t xml:space="preserve">Prepared By</w:t>
            </w:r>
          </w:p>
        </w:tc>
        <w:tc>
          <w:tcPr/>
          <w:p>
            <w:pPr>
              <w:pStyle w:val="Compact"/>
              <w:jc w:val="left"/>
            </w:pPr>
            <w:r>
              <w:t xml:space="preserve">Dr. Ahmed Al-Mansouri, Lead Statistician – DataBridge Analytics LLC, Doha, Qatar</w:t>
            </w:r>
          </w:p>
        </w:tc>
      </w:tr>
      <w:tr>
        <w:tc>
          <w:tcPr/>
          <w:p>
            <w:pPr>
              <w:pStyle w:val="Compact"/>
              <w:jc w:val="left"/>
            </w:pPr>
            <w:r>
              <w:t xml:space="preserve">Prepared For</w:t>
            </w:r>
          </w:p>
        </w:tc>
        <w:tc>
          <w:tcPr/>
          <w:p>
            <w:pPr>
              <w:pStyle w:val="Compact"/>
              <w:jc w:val="left"/>
            </w:pPr>
            <w:r>
              <w:t xml:space="preserve">Client Name / Organization (Qatar Doha)</w:t>
            </w:r>
          </w:p>
        </w:tc>
      </w:tr>
      <w:tr>
        <w:tc>
          <w:tcPr/>
          <w:p>
            <w:pPr>
              <w:pStyle w:val="Compact"/>
              <w:jc w:val="left"/>
            </w:pPr>
            <w:r>
              <w:t xml:space="preserve">Service Location</w:t>
            </w:r>
          </w:p>
        </w:tc>
        <w:tc>
          <w:tcPr/>
          <w:p>
            <w:pPr>
              <w:pStyle w:val="Compact"/>
              <w:jc w:val="left"/>
            </w:pPr>
            <w:r>
              <w:t xml:space="preserve">Qatar Doha – On-site and Remote Hybrid Engagement</w:t>
            </w:r>
          </w:p>
        </w:tc>
      </w:tr>
      <w:tr>
        <w:tc>
          <w:tcPr/>
          <w:p>
            <w:pPr>
              <w:pStyle w:val="Compact"/>
              <w:jc w:val="left"/>
            </w:pPr>
            <w:r>
              <w:t xml:space="preserve">Currency</w:t>
            </w:r>
          </w:p>
        </w:tc>
        <w:tc>
          <w:tcPr/>
          <w:p>
            <w:pPr>
              <w:pStyle w:val="Compact"/>
              <w:jc w:val="left"/>
            </w:pPr>
            <w:r>
              <w:t xml:space="preserve">Qatari Riyal (QAR)</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by DataBridge Analytics LLC, a specialized data science and statistical consulting firm headquartered in Qatar Doha, to provide a comprehensive and transparent financial proposal for the engagement of a qualified</w:t>
      </w:r>
      <w:r>
        <w:t xml:space="preserve"> </w:t>
      </w:r>
      <w:r>
        <w:t xml:space="preserve">Statistician</w:t>
      </w:r>
      <w:r>
        <w:t xml:space="preserve"> </w:t>
      </w:r>
      <w:r>
        <w:t xml:space="preserve">to deliver advanced analytical services to the client. This document outlines the full scope of work, deliverables, timelines, and associated costs for the Statistician engagement within the Qatar Doha operational environment. All pricing in this Quotation Estimate is denominated in Qatari Riyal (QAR) and reflects current market rates for professional statistical services in the Qatar Doha region.</w:t>
      </w:r>
    </w:p>
    <w:bookmarkEnd w:id="21"/>
    <w:bookmarkStart w:id="22" w:name="X97bde90b1a6fe0883268f6465e29399cc8850e7"/>
    <w:p>
      <w:pPr>
        <w:pStyle w:val="Heading2"/>
      </w:pPr>
      <w:r>
        <w:t xml:space="preserve">2. Scope of Work – Statistician Services in Qatar Doha</w:t>
      </w:r>
    </w:p>
    <w:p>
      <w:pPr>
        <w:pStyle w:val="FirstParagraph"/>
      </w:pPr>
      <w:r>
        <w:t xml:space="preserve">The</w:t>
      </w:r>
      <w:r>
        <w:t xml:space="preserve"> </w:t>
      </w:r>
      <w:r>
        <w:t xml:space="preserve">Statistician</w:t>
      </w:r>
      <w:r>
        <w:t xml:space="preserve"> </w:t>
      </w:r>
      <w:r>
        <w:t xml:space="preserve">engaged under this Quotation Estimate will provide the following professional services tailored to the client's operational needs in Qatar Doha:</w:t>
      </w:r>
    </w:p>
    <w:p>
      <w:pPr>
        <w:numPr>
          <w:ilvl w:val="0"/>
          <w:numId w:val="1001"/>
        </w:numPr>
        <w:pStyle w:val="Compact"/>
      </w:pPr>
      <w:r>
        <w:rPr>
          <w:bCs/>
          <w:b/>
        </w:rPr>
        <w:t xml:space="preserve">Statistical Data Collection and Design:</w:t>
      </w:r>
      <w:r>
        <w:t xml:space="preserve"> </w:t>
      </w:r>
      <w:r>
        <w:t xml:space="preserve">The Statistician will design robust sampling frameworks, survey instruments, and data collection protocols aligned with Qatar's regulatory standards and the client's specific research objectives in the Qatar Doha market.</w:t>
      </w:r>
    </w:p>
    <w:p>
      <w:pPr>
        <w:numPr>
          <w:ilvl w:val="0"/>
          <w:numId w:val="1001"/>
        </w:numPr>
        <w:pStyle w:val="Compact"/>
      </w:pPr>
      <w:r>
        <w:rPr>
          <w:bCs/>
          <w:b/>
        </w:rPr>
        <w:t xml:space="preserve">Advanced Statistical Modeling:</w:t>
      </w:r>
      <w:r>
        <w:t xml:space="preserve"> </w:t>
      </w:r>
      <w:r>
        <w:t xml:space="preserve">Development and implementation of regression models, time-series analysis, multivariate analysis, Bayesian inference, and machine learning algorithms to extract actionable insights from the client's datasets.</w:t>
      </w:r>
    </w:p>
    <w:p>
      <w:pPr>
        <w:numPr>
          <w:ilvl w:val="0"/>
          <w:numId w:val="1001"/>
        </w:numPr>
        <w:pStyle w:val="Compact"/>
      </w:pPr>
      <w:r>
        <w:rPr>
          <w:bCs/>
          <w:b/>
        </w:rPr>
        <w:t xml:space="preserve">Data Quality Assurance and Validation:</w:t>
      </w:r>
      <w:r>
        <w:t xml:space="preserve"> </w:t>
      </w:r>
      <w:r>
        <w:t xml:space="preserve">Comprehensive statistical auditing of existing datasets, outlier detection, missing data imputation, and validation of data integrity in compliance with Qatar's data protection regulations.</w:t>
      </w:r>
    </w:p>
    <w:p>
      <w:pPr>
        <w:numPr>
          <w:ilvl w:val="0"/>
          <w:numId w:val="1001"/>
        </w:numPr>
        <w:pStyle w:val="Compact"/>
      </w:pPr>
      <w:r>
        <w:rPr>
          <w:bCs/>
          <w:b/>
        </w:rPr>
        <w:t xml:space="preserve">Predictive Analytics and Forecasting:</w:t>
      </w:r>
      <w:r>
        <w:t xml:space="preserve"> </w:t>
      </w:r>
      <w:r>
        <w:t xml:space="preserve">Construction of predictive models for demand forecasting, risk assessment, and strategic planning relevant to the Qatar Doha business landscape.</w:t>
      </w:r>
    </w:p>
    <w:p>
      <w:pPr>
        <w:numPr>
          <w:ilvl w:val="0"/>
          <w:numId w:val="1001"/>
        </w:numPr>
        <w:pStyle w:val="Compact"/>
      </w:pPr>
      <w:r>
        <w:rPr>
          <w:bCs/>
          <w:b/>
        </w:rPr>
        <w:t xml:space="preserve">Reporting and Presentation:</w:t>
      </w:r>
      <w:r>
        <w:t xml:space="preserve"> </w:t>
      </w:r>
      <w:r>
        <w:t xml:space="preserve">Preparation of detailed statistical reports, visual dashboards, and executive presentations for senior leadership, with all findings contextualized within the Qatar Doha economic and regulatory environment.</w:t>
      </w:r>
    </w:p>
    <w:p>
      <w:pPr>
        <w:numPr>
          <w:ilvl w:val="0"/>
          <w:numId w:val="1001"/>
        </w:numPr>
        <w:pStyle w:val="Compact"/>
      </w:pPr>
      <w:r>
        <w:rPr>
          <w:bCs/>
          <w:b/>
        </w:rPr>
        <w:t xml:space="preserve">Training and Knowledge Transfer:</w:t>
      </w:r>
      <w:r>
        <w:t xml:space="preserve"> </w:t>
      </w:r>
      <w:r>
        <w:t xml:space="preserve">On-site workshops in Qatar Doha to upskill the client's internal team on statistical methodologies, data interpretation, and analytical best practices.</w:t>
      </w:r>
    </w:p>
    <w:bookmarkEnd w:id="22"/>
    <w:bookmarkStart w:id="23" w:name="Xb72c037f6566a17d1914722b4623df0066afbd9"/>
    <w:p>
      <w:pPr>
        <w:pStyle w:val="Heading2"/>
      </w:pPr>
      <w:r>
        <w:t xml:space="preserve">3. Professional Qualifications of the Statistician</w:t>
      </w:r>
    </w:p>
    <w:p>
      <w:pPr>
        <w:pStyle w:val="FirstParagraph"/>
      </w:pPr>
      <w:r>
        <w:t xml:space="preserve">The</w:t>
      </w:r>
      <w:r>
        <w:t xml:space="preserve"> </w:t>
      </w:r>
      <w:r>
        <w:t xml:space="preserve">Statistician</w:t>
      </w:r>
      <w:r>
        <w:t xml:space="preserve"> </w:t>
      </w:r>
      <w:r>
        <w:t xml:space="preserve">assigned to this engagement holds a Doctorate in Applied Statistics from a recognized international university, with a minimum of twelve (12) years of professional experience in quantitative analysis, econometrics, and data science. The Statistician is a certified member of the Royal Statistical Society (RSS) and holds a valid Qatar Professional Card issued by the Ministry of Labour. The Statistician has previously delivered statistical consulting projects for government entities, financial institutions, and multinational corporations operating in Qatar Doha and the broader GCC region.</w:t>
      </w:r>
    </w:p>
    <w:bookmarkEnd w:id="23"/>
    <w:bookmarkStart w:id="24" w:name="X8661f6c3f37dd5625cac715a5b14e2992f16415"/>
    <w:p>
      <w:pPr>
        <w:pStyle w:val="Heading2"/>
      </w:pPr>
      <w:r>
        <w:t xml:space="preserve">4. Quotation Estimate – Detailed Pricing Breakdown</w:t>
      </w:r>
    </w:p>
    <w:p>
      <w:pPr>
        <w:pStyle w:val="FirstParagraph"/>
      </w:pPr>
      <w:r>
        <w:t xml:space="preserve">The following table presents the itemized</w:t>
      </w:r>
      <w:r>
        <w:t xml:space="preserve"> </w:t>
      </w:r>
      <w:r>
        <w:t xml:space="preserve">Quotation Estimate</w:t>
      </w:r>
      <w:r>
        <w:t xml:space="preserve"> </w:t>
      </w:r>
      <w:r>
        <w:t xml:space="preserve">for the Statistician services. All rates are inclusive of Value Added Tax (VAT) at 5% as applicable in Qatar.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Statistician Service</w:t>
            </w:r>
          </w:p>
        </w:tc>
        <w:tc>
          <w:tcPr/>
          <w:p>
            <w:pPr>
              <w:pStyle w:val="Compact"/>
              <w:jc w:val="left"/>
            </w:pPr>
            <w:r>
              <w:t xml:space="preserve">Duration / Quantity</w:t>
            </w:r>
          </w:p>
        </w:tc>
        <w:tc>
          <w:tcPr/>
          <w:p>
            <w:pPr>
              <w:pStyle w:val="Compact"/>
              <w:jc w:val="left"/>
            </w:pPr>
            <w:r>
              <w:t xml:space="preserve">Unit Rate (QAR)</w:t>
            </w:r>
          </w:p>
        </w:tc>
        <w:tc>
          <w:tcPr/>
          <w:p>
            <w:pPr>
              <w:pStyle w:val="Compact"/>
              <w:jc w:val="left"/>
            </w:pPr>
            <w:r>
              <w:t xml:space="preserve">Total (QAR)</w:t>
            </w:r>
          </w:p>
        </w:tc>
      </w:tr>
      <w:tr>
        <w:tc>
          <w:tcPr/>
          <w:p>
            <w:pPr>
              <w:pStyle w:val="Compact"/>
              <w:jc w:val="left"/>
            </w:pPr>
            <w:r>
              <w:t xml:space="preserve">01</w:t>
            </w:r>
          </w:p>
        </w:tc>
        <w:tc>
          <w:tcPr/>
          <w:p>
            <w:pPr>
              <w:pStyle w:val="Compact"/>
              <w:jc w:val="left"/>
            </w:pPr>
            <w:r>
              <w:t xml:space="preserve">Initial Consultation and Project Scoping in Qatar Doha</w:t>
            </w:r>
          </w:p>
        </w:tc>
        <w:tc>
          <w:tcPr/>
          <w:p>
            <w:pPr>
              <w:pStyle w:val="Compact"/>
              <w:jc w:val="left"/>
            </w:pPr>
            <w:r>
              <w:t xml:space="preserve">2 days</w:t>
            </w:r>
          </w:p>
        </w:tc>
        <w:tc>
          <w:tcPr/>
          <w:p>
            <w:pPr>
              <w:pStyle w:val="Compact"/>
              <w:jc w:val="left"/>
            </w:pPr>
            <w:r>
              <w:t xml:space="preserve">4,500</w:t>
            </w:r>
          </w:p>
        </w:tc>
        <w:tc>
          <w:tcPr/>
          <w:p>
            <w:pPr>
              <w:pStyle w:val="Compact"/>
              <w:jc w:val="left"/>
            </w:pPr>
            <w:r>
              <w:t xml:space="preserve">9,000</w:t>
            </w:r>
          </w:p>
        </w:tc>
      </w:tr>
      <w:tr>
        <w:tc>
          <w:tcPr/>
          <w:p>
            <w:pPr>
              <w:pStyle w:val="Compact"/>
              <w:jc w:val="left"/>
            </w:pPr>
            <w:r>
              <w:t xml:space="preserve">02</w:t>
            </w:r>
          </w:p>
        </w:tc>
        <w:tc>
          <w:tcPr/>
          <w:p>
            <w:pPr>
              <w:pStyle w:val="Compact"/>
              <w:jc w:val="left"/>
            </w:pPr>
            <w:r>
              <w:t xml:space="preserve">Statistical Methodology Design and Data Collection Framework</w:t>
            </w:r>
          </w:p>
        </w:tc>
        <w:tc>
          <w:tcPr/>
          <w:p>
            <w:pPr>
              <w:pStyle w:val="Compact"/>
              <w:jc w:val="left"/>
            </w:pPr>
            <w:r>
              <w:t xml:space="preserve">3 weeks</w:t>
            </w:r>
          </w:p>
        </w:tc>
        <w:tc>
          <w:tcPr/>
          <w:p>
            <w:pPr>
              <w:pStyle w:val="Compact"/>
              <w:jc w:val="left"/>
            </w:pPr>
            <w:r>
              <w:t xml:space="preserve">18,000</w:t>
            </w:r>
          </w:p>
        </w:tc>
        <w:tc>
          <w:tcPr/>
          <w:p>
            <w:pPr>
              <w:pStyle w:val="Compact"/>
              <w:jc w:val="left"/>
            </w:pPr>
            <w:r>
              <w:t xml:space="preserve">54,000</w:t>
            </w:r>
          </w:p>
        </w:tc>
      </w:tr>
      <w:tr>
        <w:tc>
          <w:tcPr/>
          <w:p>
            <w:pPr>
              <w:pStyle w:val="Compact"/>
              <w:jc w:val="left"/>
            </w:pPr>
            <w:r>
              <w:t xml:space="preserve">03</w:t>
            </w:r>
          </w:p>
        </w:tc>
        <w:tc>
          <w:tcPr/>
          <w:p>
            <w:pPr>
              <w:pStyle w:val="Compact"/>
              <w:jc w:val="left"/>
            </w:pPr>
            <w:r>
              <w:t xml:space="preserve">Advanced Statistical Modeling and Analysis Execution</w:t>
            </w:r>
          </w:p>
        </w:tc>
        <w:tc>
          <w:tcPr/>
          <w:p>
            <w:pPr>
              <w:pStyle w:val="Compact"/>
              <w:jc w:val="left"/>
            </w:pPr>
            <w:r>
              <w:t xml:space="preserve">6 weeks</w:t>
            </w:r>
          </w:p>
        </w:tc>
        <w:tc>
          <w:tcPr/>
          <w:p>
            <w:pPr>
              <w:pStyle w:val="Compact"/>
              <w:jc w:val="left"/>
            </w:pPr>
            <w:r>
              <w:t xml:space="preserve">22,000</w:t>
            </w:r>
          </w:p>
        </w:tc>
        <w:tc>
          <w:tcPr/>
          <w:p>
            <w:pPr>
              <w:pStyle w:val="Compact"/>
              <w:jc w:val="left"/>
            </w:pPr>
            <w:r>
              <w:t xml:space="preserve">132,000</w:t>
            </w:r>
          </w:p>
        </w:tc>
      </w:tr>
      <w:tr>
        <w:tc>
          <w:tcPr/>
          <w:p>
            <w:pPr>
              <w:pStyle w:val="Compact"/>
              <w:jc w:val="left"/>
            </w:pPr>
            <w:r>
              <w:t xml:space="preserve">04</w:t>
            </w:r>
          </w:p>
        </w:tc>
        <w:tc>
          <w:tcPr/>
          <w:p>
            <w:pPr>
              <w:pStyle w:val="Compact"/>
              <w:jc w:val="left"/>
            </w:pPr>
            <w:r>
              <w:t xml:space="preserve">Predictive Analytics and Forecasting Model Development</w:t>
            </w:r>
          </w:p>
        </w:tc>
        <w:tc>
          <w:tcPr/>
          <w:p>
            <w:pPr>
              <w:pStyle w:val="Compact"/>
              <w:jc w:val="left"/>
            </w:pPr>
            <w:r>
              <w:t xml:space="preserve">4 weeks</w:t>
            </w:r>
          </w:p>
        </w:tc>
        <w:tc>
          <w:tcPr/>
          <w:p>
            <w:pPr>
              <w:pStyle w:val="Compact"/>
              <w:jc w:val="left"/>
            </w:pPr>
            <w:r>
              <w:t xml:space="preserve">20,000</w:t>
            </w:r>
          </w:p>
        </w:tc>
        <w:tc>
          <w:tcPr/>
          <w:p>
            <w:pPr>
              <w:pStyle w:val="Compact"/>
              <w:jc w:val="left"/>
            </w:pPr>
            <w:r>
              <w:t xml:space="preserve">80,000</w:t>
            </w:r>
          </w:p>
        </w:tc>
      </w:tr>
      <w:tr>
        <w:tc>
          <w:tcPr/>
          <w:p>
            <w:pPr>
              <w:pStyle w:val="Compact"/>
              <w:jc w:val="left"/>
            </w:pPr>
            <w:r>
              <w:t xml:space="preserve">05</w:t>
            </w:r>
          </w:p>
        </w:tc>
        <w:tc>
          <w:tcPr/>
          <w:p>
            <w:pPr>
              <w:pStyle w:val="Compact"/>
              <w:jc w:val="left"/>
            </w:pPr>
            <w:r>
              <w:t xml:space="preserve">Comprehensive Statistical Reporting and Executive Presentation</w:t>
            </w:r>
          </w:p>
        </w:tc>
        <w:tc>
          <w:tcPr/>
          <w:p>
            <w:pPr>
              <w:pStyle w:val="Compact"/>
              <w:jc w:val="left"/>
            </w:pPr>
            <w:r>
              <w:t xml:space="preserve">2 weeks</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06</w:t>
            </w:r>
          </w:p>
        </w:tc>
        <w:tc>
          <w:tcPr/>
          <w:p>
            <w:pPr>
              <w:pStyle w:val="Compact"/>
              <w:jc w:val="left"/>
            </w:pPr>
            <w:r>
              <w:t xml:space="preserve">On-site Training Workshop in Qatar Doha (2 sessions)</w:t>
            </w:r>
          </w:p>
        </w:tc>
        <w:tc>
          <w:tcPr/>
          <w:p>
            <w:pPr>
              <w:pStyle w:val="Compact"/>
              <w:jc w:val="left"/>
            </w:pPr>
            <w:r>
              <w:t xml:space="preserve">2 days</w:t>
            </w:r>
          </w:p>
        </w:tc>
        <w:tc>
          <w:tcPr/>
          <w:p>
            <w:pPr>
              <w:pStyle w:val="Compact"/>
              <w:jc w:val="left"/>
            </w:pPr>
            <w:r>
              <w:t xml:space="preserve">8,500</w:t>
            </w:r>
          </w:p>
        </w:tc>
        <w:tc>
          <w:tcPr/>
          <w:p>
            <w:pPr>
              <w:pStyle w:val="Compact"/>
              <w:jc w:val="left"/>
            </w:pPr>
            <w:r>
              <w:t xml:space="preserve">17,000</w:t>
            </w:r>
          </w:p>
        </w:tc>
      </w:tr>
      <w:tr>
        <w:tc>
          <w:tcPr/>
          <w:p>
            <w:pPr>
              <w:pStyle w:val="Compact"/>
              <w:jc w:val="left"/>
            </w:pPr>
            <w:r>
              <w:t xml:space="preserve">07</w:t>
            </w:r>
          </w:p>
        </w:tc>
        <w:tc>
          <w:tcPr/>
          <w:p>
            <w:pPr>
              <w:pStyle w:val="Compact"/>
              <w:jc w:val="left"/>
            </w:pPr>
            <w:r>
              <w:t xml:space="preserve">Post-Delivery Support and Model Maintenance (3 months)</w:t>
            </w:r>
          </w:p>
        </w:tc>
        <w:tc>
          <w:tcPr/>
          <w:p>
            <w:pPr>
              <w:pStyle w:val="Compact"/>
              <w:jc w:val="left"/>
            </w:pPr>
            <w:r>
              <w:t xml:space="preserve">3 months</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08</w:t>
            </w:r>
          </w:p>
        </w:tc>
        <w:tc>
          <w:tcPr/>
          <w:p>
            <w:pPr>
              <w:pStyle w:val="Compact"/>
              <w:jc w:val="left"/>
            </w:pPr>
            <w:r>
              <w:t xml:space="preserve">Travel, Accommodation, and Local Logistics in Qatar Doha</w:t>
            </w:r>
          </w:p>
        </w:tc>
        <w:tc>
          <w:tcPr/>
          <w:p>
            <w:pPr>
              <w:pStyle w:val="Compact"/>
              <w:jc w:val="left"/>
            </w:pPr>
            <w:r>
              <w:t xml:space="preserve">As required</w:t>
            </w:r>
          </w:p>
        </w:tc>
        <w:tc>
          <w:tcPr/>
          <w:p>
            <w:pPr>
              <w:pStyle w:val="Compact"/>
              <w:jc w:val="left"/>
            </w:pPr>
            <w:r>
              <w:t xml:space="preserve">—</w:t>
            </w:r>
          </w:p>
        </w:tc>
        <w:tc>
          <w:tcPr/>
          <w:p>
            <w:pPr>
              <w:pStyle w:val="Compact"/>
              <w:jc w:val="left"/>
            </w:pPr>
            <w:r>
              <w:t xml:space="preserve">15,000</w:t>
            </w:r>
          </w:p>
        </w:tc>
      </w:tr>
      <w:tr>
        <w:tc>
          <w:tcPr>
            <w:gridSpan w:val="4"/>
          </w:tcPr>
          <w:p>
            <w:pPr>
              <w:pStyle w:val="Compact"/>
              <w:jc w:val="left"/>
            </w:pPr>
            <w:r>
              <w:t xml:space="preserve">Grand Total – Quotation Estimate (Incl. 5% VAT)</w:t>
            </w:r>
          </w:p>
        </w:tc>
        <w:tc>
          <w:tcPr/>
          <w:p>
            <w:pPr>
              <w:pStyle w:val="Compact"/>
              <w:jc w:val="left"/>
            </w:pPr>
            <w:r>
              <w:t xml:space="preserve">QAR 383,050</w:t>
            </w:r>
          </w:p>
        </w:tc>
      </w:tr>
    </w:tbl>
    <w:bookmarkEnd w:id="24"/>
    <w:bookmarkStart w:id="25" w:name="X985eb999f0cfcda5f1af1a675bf0b7c2e0a6c64"/>
    <w:p>
      <w:pPr>
        <w:pStyle w:val="Heading2"/>
      </w:pPr>
      <w:r>
        <w:t xml:space="preserve">5.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the Statistician service rates may be subject to revision based on market conditions in Qatar Doha.</w:t>
      </w:r>
    </w:p>
    <w:p>
      <w:pPr>
        <w:numPr>
          <w:ilvl w:val="0"/>
          <w:numId w:val="1002"/>
        </w:numPr>
        <w:pStyle w:val="Compact"/>
      </w:pPr>
      <w:r>
        <w:t xml:space="preserve">Payment terms: 40% advance upon acceptance of this Quotation Estimate, 40% upon completion of the primary analysis phase, and 20% upon final delivery and client sign-off.</w:t>
      </w:r>
    </w:p>
    <w:p>
      <w:pPr>
        <w:numPr>
          <w:ilvl w:val="0"/>
          <w:numId w:val="1002"/>
        </w:numPr>
        <w:pStyle w:val="Compact"/>
      </w:pPr>
      <w:r>
        <w:t xml:space="preserve">The Statistician shall maintain strict confidentiality of all client data in accordance with Qatar's Personal Data Protection Law (Law No. 13 of 2016) and the client's internal data governance policies.</w:t>
      </w:r>
    </w:p>
    <w:p>
      <w:pPr>
        <w:numPr>
          <w:ilvl w:val="0"/>
          <w:numId w:val="1002"/>
        </w:numPr>
        <w:pStyle w:val="Compact"/>
      </w:pPr>
      <w:r>
        <w:t xml:space="preserve">All deliverables produced by the Statistician shall be the exclusive intellectual property of the client upon full payment.</w:t>
      </w:r>
    </w:p>
    <w:p>
      <w:pPr>
        <w:numPr>
          <w:ilvl w:val="0"/>
          <w:numId w:val="1002"/>
        </w:numPr>
        <w:pStyle w:val="Compact"/>
      </w:pPr>
      <w:r>
        <w:t xml:space="preserve">Any scope changes or additional Statistician services beyond the defined scope in this Quotation Estimate will be subject to a supplementary quotation and mutual written agreement.</w:t>
      </w:r>
    </w:p>
    <w:p>
      <w:pPr>
        <w:numPr>
          <w:ilvl w:val="0"/>
          <w:numId w:val="1002"/>
        </w:numPr>
        <w:pStyle w:val="Compact"/>
      </w:pPr>
      <w:r>
        <w:t xml:space="preserve">The Statistician is required to comply with all applicable laws and regulations of the State of Qatar, including but not limited to labor laws, tax obligations, and professional licensing requirements in Qatar Doha.</w:t>
      </w:r>
    </w:p>
    <w:p>
      <w:pPr>
        <w:numPr>
          <w:ilvl w:val="0"/>
          <w:numId w:val="1002"/>
        </w:numPr>
        <w:pStyle w:val="Compact"/>
      </w:pPr>
      <w:r>
        <w:t xml:space="preserve">Force majeure events, including but not limited to government-mandated closures or public health emergencies in Qatar Doha, shall extend the project timeline proportionally without additional cost to the client.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for the engagement of the</w:t>
      </w:r>
      <w:r>
        <w:t xml:space="preserve"> </w:t>
      </w:r>
      <w:r>
        <w:t xml:space="preserve">Statistician</w:t>
      </w:r>
      <w:r>
        <w:t xml:space="preserve"> </w:t>
      </w:r>
      <w:r>
        <w:t xml:space="preserve">as described herein. The engagement shall commence within five (5) business days of written acceptance, and all services shall be delivered in and around Qatar Doha as specified in the scope of work.</w:t>
      </w:r>
    </w:p>
    <w:p>
      <w:pPr>
        <w:pStyle w:val="BodyText"/>
      </w:pPr>
      <w:r>
        <w:rPr>
          <w:bCs/>
          <w:b/>
        </w:rPr>
        <w:t xml:space="preserve">For DataBridge Analytics LLC</w:t>
      </w:r>
    </w:p>
    <w:p>
      <w:pPr>
        <w:pStyle w:val="BodyText"/>
      </w:pPr>
      <w:r>
        <w:t xml:space="preserve">Dr. Ahmed Al-Mansouri</w:t>
      </w:r>
    </w:p>
    <w:p>
      <w:pPr>
        <w:pStyle w:val="BodyText"/>
      </w:pPr>
      <w:r>
        <w:t xml:space="preserve">Lead Statistician</w:t>
      </w:r>
    </w:p>
    <w:p>
      <w:pPr>
        <w:pStyle w:val="BodyText"/>
      </w:pPr>
      <w:r>
        <w:t xml:space="preserve">Signature &amp; Date</w:t>
      </w:r>
    </w:p>
    <w:p>
      <w:pPr>
        <w:pStyle w:val="BodyText"/>
      </w:pPr>
      <w:r>
        <w:rPr>
          <w:bCs/>
          <w:b/>
        </w:rPr>
        <w:t xml:space="preserve">For the Client</w:t>
      </w:r>
    </w:p>
    <w:p>
      <w:pPr>
        <w:pStyle w:val="BodyText"/>
      </w:pPr>
      <w:r>
        <w:t xml:space="preserve">Authorized Representative</w:t>
      </w:r>
    </w:p>
    <w:p>
      <w:pPr>
        <w:pStyle w:val="BodyText"/>
      </w:pPr>
      <w:r>
        <w:t xml:space="preserve">Qatar Doha</w:t>
      </w:r>
    </w:p>
    <w:p>
      <w:pPr>
        <w:pStyle w:val="BodyText"/>
      </w:pPr>
      <w:r>
        <w:t xml:space="preserve">Signature &amp; Date</w:t>
      </w:r>
    </w:p>
    <w:p>
      <w:pPr>
        <w:pStyle w:val="BodyText"/>
      </w:pPr>
      <w:r>
        <w:t xml:space="preserve">DataBridge Analytics LLC | Office 1204, Level 12, Al Rayyan Tower, West Bay, Qatar Doha, P.O. Box 4521, State of Qatar</w:t>
      </w:r>
    </w:p>
    <w:p>
      <w:pPr>
        <w:pStyle w:val="BodyText"/>
      </w:pPr>
      <w:r>
        <w:t xml:space="preserve">Email: info@databridge-analytics.qa | Tel: +974-4400-1234 | CR: 123456</w:t>
      </w:r>
    </w:p>
    <w:p>
      <w:pPr>
        <w:pStyle w:val="BodyText"/>
      </w:pPr>
      <w:r>
        <w:t xml:space="preserve">This Quotation Estimate is a confidential document intended solely for the named client. Unauthorized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Qatar Doha</dc:title>
  <dc:creator/>
  <dc:language>en</dc:language>
  <cp:keywords/>
  <dcterms:created xsi:type="dcterms:W3CDTF">2026-10-10T05:01:17Z</dcterms:created>
  <dcterms:modified xsi:type="dcterms:W3CDTF">2026-10-10T05:01:17Z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