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Russia</w:t>
      </w:r>
      <w:r>
        <w:t xml:space="preserve"> </w:t>
      </w:r>
      <w:r>
        <w:t xml:space="preserve">Moscow</w:t>
      </w:r>
    </w:p>
    <w:bookmarkStart w:id="20" w:name="quantum-analytics-data-solutions-llc"/>
    <w:p>
      <w:pPr>
        <w:pStyle w:val="Heading1"/>
      </w:pPr>
      <w:r>
        <w:t xml:space="preserve">Quantum Analytics &amp; Data Solutions LLC</w:t>
      </w:r>
    </w:p>
    <w:p>
      <w:pPr>
        <w:pStyle w:val="FirstParagraph"/>
      </w:pPr>
      <w:r>
        <w:t xml:space="preserve">12 Tverskaya Street, Building 4, Floor 7</w:t>
      </w:r>
    </w:p>
    <w:p>
      <w:pPr>
        <w:pStyle w:val="BodyText"/>
      </w:pPr>
      <w:r>
        <w:t xml:space="preserve">Moscow, 125009, Russian Federation</w:t>
      </w:r>
    </w:p>
    <w:p>
      <w:pPr>
        <w:pStyle w:val="BodyText"/>
      </w:pPr>
      <w:r>
        <w:t xml:space="preserve">Tel: +7 (495) 123-4567 | Email: estimates@quantum-analytics.ru</w:t>
      </w:r>
    </w:p>
    <w:p>
      <w:pPr>
        <w:pStyle w:val="BodyText"/>
      </w:pPr>
      <w:r>
        <w:t xml:space="preserve">INN: 7710123456 | OGRN: 1157746000000</w:t>
      </w:r>
    </w:p>
    <w:bookmarkEnd w:id="20"/>
    <w:p>
      <w:pPr>
        <w:pStyle w:val="BodyText"/>
      </w:pPr>
      <w:r>
        <w:t xml:space="preserve">Document No. QE-2025-0847</w:t>
      </w:r>
    </w:p>
    <w:p>
      <w:pPr>
        <w:pStyle w:val="BodyText"/>
      </w:pPr>
      <w:r>
        <w:t xml:space="preserve">Date: 15 June 2025</w:t>
      </w:r>
    </w:p>
    <w:p>
      <w:pPr>
        <w:pStyle w:val="BodyText"/>
      </w:pPr>
      <w:r>
        <w:t xml:space="preserve">Valid Until: 15 July 2025</w:t>
      </w:r>
    </w:p>
    <w:bookmarkStart w:id="21" w:name="quotation-estimate"/>
    <w:p>
      <w:pPr>
        <w:pStyle w:val="Heading2"/>
      </w:pPr>
      <w:r>
        <w:t xml:space="preserve">Quotation Estimate</w:t>
      </w:r>
    </w:p>
    <w:p>
      <w:pPr>
        <w:pStyle w:val="FirstParagraph"/>
      </w:pPr>
      <w:r>
        <w:t xml:space="preserve">Professional Statistician Services — Russia Moscow Region</w:t>
      </w:r>
    </w:p>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For:</w:t>
            </w:r>
          </w:p>
        </w:tc>
        <w:tc>
          <w:tcPr/>
          <w:p>
            <w:pPr>
              <w:pStyle w:val="Compact"/>
              <w:jc w:val="left"/>
            </w:pPr>
            <w:r>
              <w:t xml:space="preserve">State Research Institute of Applied Mathematics, Moscow, Russia</w:t>
            </w:r>
          </w:p>
        </w:tc>
      </w:tr>
      <w:tr>
        <w:tc>
          <w:tcPr/>
          <w:p>
            <w:pPr>
              <w:pStyle w:val="Compact"/>
              <w:jc w:val="left"/>
            </w:pPr>
            <w:r>
              <w:t xml:space="preserve">Attention:</w:t>
            </w:r>
          </w:p>
        </w:tc>
        <w:tc>
          <w:tcPr/>
          <w:p>
            <w:pPr>
              <w:pStyle w:val="Compact"/>
              <w:jc w:val="left"/>
            </w:pPr>
            <w:r>
              <w:t xml:space="preserve">Dr. Elena V. Sokolova, Head of Data Science Division</w:t>
            </w:r>
          </w:p>
        </w:tc>
      </w:tr>
      <w:tr>
        <w:tc>
          <w:tcPr/>
          <w:p>
            <w:pPr>
              <w:pStyle w:val="Compact"/>
              <w:jc w:val="left"/>
            </w:pPr>
            <w:r>
              <w:t xml:space="preserve">Project Reference:</w:t>
            </w:r>
          </w:p>
        </w:tc>
        <w:tc>
          <w:tcPr/>
          <w:p>
            <w:pPr>
              <w:pStyle w:val="Compact"/>
              <w:jc w:val="left"/>
            </w:pPr>
            <w:r>
              <w:t xml:space="preserve">SR-2025-STAT-0031 — Longitudinal Economic Modeling Program</w:t>
            </w:r>
          </w:p>
        </w:tc>
      </w:tr>
      <w:tr>
        <w:tc>
          <w:tcPr/>
          <w:p>
            <w:pPr>
              <w:pStyle w:val="Compact"/>
              <w:jc w:val="left"/>
            </w:pPr>
            <w:r>
              <w:t xml:space="preserve">Service Location:</w:t>
            </w:r>
          </w:p>
        </w:tc>
        <w:tc>
          <w:tcPr/>
          <w:p>
            <w:pPr>
              <w:pStyle w:val="Compact"/>
              <w:jc w:val="left"/>
            </w:pPr>
            <w:r>
              <w:t xml:space="preserve">Moscow, Russia (Primary Office: Tverskaya District; Fieldwork: Moscow Oblast)</w:t>
            </w:r>
          </w:p>
        </w:tc>
      </w:tr>
      <w:tr>
        <w:tc>
          <w:tcPr/>
          <w:p>
            <w:pPr>
              <w:pStyle w:val="Compact"/>
              <w:jc w:val="left"/>
            </w:pPr>
            <w:r>
              <w:t xml:space="preserve">Engagement Period:</w:t>
            </w:r>
          </w:p>
        </w:tc>
        <w:tc>
          <w:tcPr/>
          <w:p>
            <w:pPr>
              <w:pStyle w:val="Compact"/>
              <w:jc w:val="left"/>
            </w:pPr>
            <w:r>
              <w:t xml:space="preserve">1 September 2025 – 28 February 2026 (6 months)</w:t>
            </w:r>
          </w:p>
        </w:tc>
      </w:tr>
      <w:tr>
        <w:tc>
          <w:tcPr/>
          <w:p>
            <w:pPr>
              <w:pStyle w:val="Compact"/>
              <w:jc w:val="left"/>
            </w:pPr>
            <w:r>
              <w:t xml:space="preserve">Currency:</w:t>
            </w:r>
          </w:p>
        </w:tc>
        <w:tc>
          <w:tcPr/>
          <w:p>
            <w:pPr>
              <w:pStyle w:val="Compact"/>
              <w:jc w:val="left"/>
            </w:pPr>
            <w:r>
              <w:t xml:space="preserve">Russian Ruble (RUB / &amp;ruble;)</w:t>
            </w:r>
          </w:p>
        </w:tc>
      </w:tr>
    </w:tbl>
    <w:bookmarkStart w:id="22" w:name="purpose-of-this-quotation-estimate"/>
    <w:p>
      <w:pPr>
        <w:pStyle w:val="Heading3"/>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Quantum Analytics &amp; Data Solutions LLC to formally present the cost, scope, and terms for the engagement of a senior</w:t>
      </w:r>
      <w:r>
        <w:t xml:space="preserve"> </w:t>
      </w:r>
      <w:r>
        <w:t xml:space="preserve">Statistician</w:t>
      </w:r>
      <w:r>
        <w:t xml:space="preserve"> </w:t>
      </w:r>
      <w:r>
        <w:t xml:space="preserve">to support the State Research Institute of Applied Mathematics in Moscow, Russia. The</w:t>
      </w:r>
      <w:r>
        <w:t xml:space="preserve"> </w:t>
      </w:r>
      <w:r>
        <w:t xml:space="preserve">Statistician</w:t>
      </w:r>
      <w:r>
        <w:t xml:space="preserve"> </w:t>
      </w:r>
      <w:r>
        <w:t xml:space="preserve">will be embedded within the client's Data Science Division and will operate primarily from the Moscow headquarters, with occasional travel to research sites across the Moscow region. This document constitutes a binding financial proposal upon written acceptance by both parties and is governed by the civil law of the Russian Federation.</w:t>
      </w:r>
    </w:p>
    <w:bookmarkEnd w:id="22"/>
    <w:bookmarkStart w:id="23" w:name="scope-of-work-statistician-role"/>
    <w:p>
      <w:pPr>
        <w:pStyle w:val="Heading3"/>
      </w:pPr>
      <w:r>
        <w:t xml:space="preserve">2. Scope of Work — Statistician Role</w:t>
      </w:r>
    </w:p>
    <w:p>
      <w:pPr>
        <w:pStyle w:val="FirstParagraph"/>
      </w:pPr>
      <w:r>
        <w:t xml:space="preserve">The</w:t>
      </w:r>
      <w:r>
        <w:t xml:space="preserve"> </w:t>
      </w:r>
      <w:r>
        <w:t xml:space="preserve">Statistician</w:t>
      </w:r>
      <w:r>
        <w:t xml:space="preserve"> </w:t>
      </w:r>
      <w:r>
        <w:t xml:space="preserve">engaged under this</w:t>
      </w:r>
      <w:r>
        <w:t xml:space="preserve"> </w:t>
      </w:r>
      <w:r>
        <w:t xml:space="preserve">Quotation Estimate</w:t>
      </w:r>
      <w:r>
        <w:t xml:space="preserve"> </w:t>
      </w:r>
      <w:r>
        <w:t xml:space="preserve">shall perform the following duties in</w:t>
      </w:r>
      <w:r>
        <w:t xml:space="preserve"> </w:t>
      </w:r>
      <w:r>
        <w:t xml:space="preserve">Russia Moscow</w:t>
      </w:r>
      <w:r>
        <w:t xml:space="preserve"> </w:t>
      </w:r>
      <w:r>
        <w:t xml:space="preserve">and its surrounding oblast:</w:t>
      </w:r>
    </w:p>
    <w:p>
      <w:pPr>
        <w:numPr>
          <w:ilvl w:val="0"/>
          <w:numId w:val="1001"/>
        </w:numPr>
        <w:pStyle w:val="Compact"/>
      </w:pPr>
      <w:r>
        <w:t xml:space="preserve">Design and implement advanced statistical models for longitudinal economic data spanning 2010–2025, including multivariate regression, time-series decomposition, and Bayesian hierarchical frameworks.</w:t>
      </w:r>
    </w:p>
    <w:p>
      <w:pPr>
        <w:numPr>
          <w:ilvl w:val="0"/>
          <w:numId w:val="1001"/>
        </w:numPr>
        <w:pStyle w:val="Compact"/>
      </w:pPr>
      <w:r>
        <w:t xml:space="preserve">Conduct rigorous hypothesis testing, confidence interval estimation, and power analysis for all experimental and observational datasets collected in the Moscow metropolitan area.</w:t>
      </w:r>
    </w:p>
    <w:p>
      <w:pPr>
        <w:numPr>
          <w:ilvl w:val="0"/>
          <w:numId w:val="1001"/>
        </w:numPr>
        <w:pStyle w:val="Compact"/>
      </w:pPr>
      <w:r>
        <w:t xml:space="preserve">Develop and maintain reproducible data pipelines using R, Python (SciPy, statsmodels, PyMC), and SAS, ensuring compliance with Russian Federal Law No. 152-FZ on Personal Data.</w:t>
      </w:r>
    </w:p>
    <w:p>
      <w:pPr>
        <w:numPr>
          <w:ilvl w:val="0"/>
          <w:numId w:val="1001"/>
        </w:numPr>
        <w:pStyle w:val="Compact"/>
      </w:pPr>
      <w:r>
        <w:t xml:space="preserve">Prepare peer-reviewed statistical reports, methodological appendices, and visual dashboards for presentation to the Institute's Scientific Council in Moscow.</w:t>
      </w:r>
    </w:p>
    <w:p>
      <w:pPr>
        <w:numPr>
          <w:ilvl w:val="0"/>
          <w:numId w:val="1001"/>
        </w:numPr>
        <w:pStyle w:val="Compact"/>
      </w:pPr>
      <w:r>
        <w:t xml:space="preserve">Collaborate with the Institute's econometric and demographic teams to validate survey instruments and sampling strategies for population-level studies conducted in Russia Moscow and adjacent regions.</w:t>
      </w:r>
    </w:p>
    <w:p>
      <w:pPr>
        <w:numPr>
          <w:ilvl w:val="0"/>
          <w:numId w:val="1001"/>
        </w:numPr>
        <w:pStyle w:val="Compact"/>
      </w:pPr>
      <w:r>
        <w:t xml:space="preserve">Provide methodological consultation and training sessions (minimum 4 per quarter) for junior analysts and graduate students affiliated with Moscow State University and the Higher School of Economics.</w:t>
      </w:r>
    </w:p>
    <w:p>
      <w:pPr>
        <w:numPr>
          <w:ilvl w:val="0"/>
          <w:numId w:val="1001"/>
        </w:numPr>
        <w:pStyle w:val="Compact"/>
      </w:pPr>
      <w:r>
        <w:t xml:space="preserve">Ensure all statistical outputs meet the quality standards set forth by Rosstat (Federal State Statistics Service of the Russian Federation) and applicable GOST standards.</w:t>
      </w:r>
    </w:p>
    <w:bookmarkEnd w:id="23"/>
    <w:bookmarkStart w:id="24" w:name="X3f83411c8f82f4a3439899cecd90d300c7e569b"/>
    <w:p>
      <w:pPr>
        <w:pStyle w:val="Heading3"/>
      </w:pPr>
      <w:r>
        <w:t xml:space="preserve">3. Cost Breakdown — Quotation Estimate 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(RUB)</w:t>
            </w:r>
          </w:p>
        </w:tc>
        <w:tc>
          <w:tcPr/>
          <w:p>
            <w:pPr>
              <w:pStyle w:val="Compact"/>
              <w:jc w:val="left"/>
            </w:pPr>
            <w:r>
              <w:t xml:space="preserve">Total (RUB)</w:t>
            </w:r>
          </w:p>
        </w:tc>
      </w:tr>
      <w:tr>
        <w:tc>
          <w:tcPr/>
          <w:p>
            <w:pPr>
              <w:pStyle w:val="Compact"/>
              <w:jc w:val="left"/>
            </w:pPr>
            <w:r>
              <w:t xml:space="preserve">1</w:t>
            </w:r>
          </w:p>
        </w:tc>
        <w:tc>
          <w:tcPr/>
          <w:p>
            <w:pPr>
              <w:pStyle w:val="Compact"/>
              <w:jc w:val="left"/>
            </w:pPr>
            <w:r>
              <w:t xml:space="preserve">Senior Statistician — Full-time professional engagement (1,600 hours over 6 months), including model development, data analysis, and report authorship in Moscow, Russia</w:t>
            </w:r>
          </w:p>
        </w:tc>
        <w:tc>
          <w:tcPr/>
          <w:p>
            <w:pPr>
              <w:pStyle w:val="Compact"/>
              <w:jc w:val="left"/>
            </w:pPr>
            <w:r>
              <w:t xml:space="preserve">6 months</w:t>
            </w:r>
          </w:p>
        </w:tc>
        <w:tc>
          <w:tcPr/>
          <w:p>
            <w:pPr>
              <w:pStyle w:val="Compact"/>
              <w:jc w:val="left"/>
            </w:pPr>
            <w:r>
              <w:t xml:space="preserve">4,500 / hr</w:t>
            </w:r>
          </w:p>
        </w:tc>
        <w:tc>
          <w:tcPr/>
          <w:p>
            <w:pPr>
              <w:pStyle w:val="Compact"/>
              <w:jc w:val="left"/>
            </w:pPr>
            <w:r>
              <w:t xml:space="preserve">7,200,000</w:t>
            </w:r>
          </w:p>
        </w:tc>
      </w:tr>
      <w:tr>
        <w:tc>
          <w:tcPr/>
          <w:p>
            <w:pPr>
              <w:pStyle w:val="Compact"/>
              <w:jc w:val="left"/>
            </w:pPr>
            <w:r>
              <w:t xml:space="preserve">2</w:t>
            </w:r>
          </w:p>
        </w:tc>
        <w:tc>
          <w:tcPr/>
          <w:p>
            <w:pPr>
              <w:pStyle w:val="Compact"/>
              <w:jc w:val="left"/>
            </w:pPr>
            <w:r>
              <w:t xml:space="preserve">Statistical software licensing (SAS Enterprise, R Studio Pro, Python enterprise stack) for the Statistician's workstation in the Moscow office</w:t>
            </w:r>
          </w:p>
        </w:tc>
        <w:tc>
          <w:tcPr/>
          <w:p>
            <w:pPr>
              <w:pStyle w:val="Compact"/>
              <w:jc w:val="left"/>
            </w:pPr>
            <w:r>
              <w:t xml:space="preserve">6 months</w:t>
            </w:r>
          </w:p>
        </w:tc>
        <w:tc>
          <w:tcPr/>
          <w:p>
            <w:pPr>
              <w:pStyle w:val="Compact"/>
              <w:jc w:val="left"/>
            </w:pPr>
            <w:r>
              <w:t xml:space="preserve">85,000 / mo</w:t>
            </w:r>
          </w:p>
        </w:tc>
        <w:tc>
          <w:tcPr/>
          <w:p>
            <w:pPr>
              <w:pStyle w:val="Compact"/>
              <w:jc w:val="left"/>
            </w:pPr>
            <w:r>
              <w:t xml:space="preserve">510,000</w:t>
            </w:r>
          </w:p>
        </w:tc>
      </w:tr>
      <w:tr>
        <w:tc>
          <w:tcPr/>
          <w:p>
            <w:pPr>
              <w:pStyle w:val="Compact"/>
              <w:jc w:val="left"/>
            </w:pPr>
            <w:r>
              <w:t xml:space="preserve">3</w:t>
            </w:r>
          </w:p>
        </w:tc>
        <w:tc>
          <w:tcPr/>
          <w:p>
            <w:pPr>
              <w:pStyle w:val="Compact"/>
              <w:jc w:val="left"/>
            </w:pPr>
            <w:r>
              <w:t xml:space="preserve">Fieldwork travel and per diem for data collection sites in Moscow Oblast (estimated 12 business trips, 2 days each)</w:t>
            </w:r>
          </w:p>
        </w:tc>
        <w:tc>
          <w:tcPr/>
          <w:p>
            <w:pPr>
              <w:pStyle w:val="Compact"/>
              <w:jc w:val="left"/>
            </w:pPr>
            <w:r>
              <w:t xml:space="preserve">6 months</w:t>
            </w:r>
          </w:p>
        </w:tc>
        <w:tc>
          <w:tcPr/>
          <w:p>
            <w:pPr>
              <w:pStyle w:val="Compact"/>
              <w:jc w:val="left"/>
            </w:pPr>
            <w:r>
              <w:t xml:space="preserve">18,000 / trip</w:t>
            </w:r>
          </w:p>
        </w:tc>
        <w:tc>
          <w:tcPr/>
          <w:p>
            <w:pPr>
              <w:pStyle w:val="Compact"/>
              <w:jc w:val="left"/>
            </w:pPr>
            <w:r>
              <w:t xml:space="preserve">216,000</w:t>
            </w:r>
          </w:p>
        </w:tc>
      </w:tr>
      <w:tr>
        <w:tc>
          <w:tcPr/>
          <w:p>
            <w:pPr>
              <w:pStyle w:val="Compact"/>
              <w:jc w:val="left"/>
            </w:pPr>
            <w:r>
              <w:t xml:space="preserve">4</w:t>
            </w:r>
          </w:p>
        </w:tc>
        <w:tc>
          <w:tcPr/>
          <w:p>
            <w:pPr>
              <w:pStyle w:val="Compact"/>
              <w:jc w:val="left"/>
            </w:pPr>
            <w:r>
              <w:t xml:space="preserve">Methodological training and workshop delivery (4 sessions per quarter, 3 hours each, 8 sessions total)</w:t>
            </w:r>
          </w:p>
        </w:tc>
        <w:tc>
          <w:tcPr/>
          <w:p>
            <w:pPr>
              <w:pStyle w:val="Compact"/>
              <w:jc w:val="left"/>
            </w:pPr>
            <w:r>
              <w:t xml:space="preserve">6 months</w:t>
            </w:r>
          </w:p>
        </w:tc>
        <w:tc>
          <w:tcPr/>
          <w:p>
            <w:pPr>
              <w:pStyle w:val="Compact"/>
              <w:jc w:val="left"/>
            </w:pPr>
            <w:r>
              <w:t xml:space="preserve">35,000 / session</w:t>
            </w:r>
          </w:p>
        </w:tc>
        <w:tc>
          <w:tcPr/>
          <w:p>
            <w:pPr>
              <w:pStyle w:val="Compact"/>
              <w:jc w:val="left"/>
            </w:pPr>
            <w:r>
              <w:t xml:space="preserve">280,000</w:t>
            </w:r>
          </w:p>
        </w:tc>
      </w:tr>
      <w:tr>
        <w:tc>
          <w:tcPr/>
          <w:p>
            <w:pPr>
              <w:pStyle w:val="Compact"/>
              <w:jc w:val="left"/>
            </w:pPr>
            <w:r>
              <w:t xml:space="preserve">5</w:t>
            </w:r>
          </w:p>
        </w:tc>
        <w:tc>
          <w:tcPr/>
          <w:p>
            <w:pPr>
              <w:pStyle w:val="Compact"/>
              <w:jc w:val="left"/>
            </w:pPr>
            <w:r>
              <w:t xml:space="preserve">Project management, quality assurance, and administrative overhead (15% of direct costs)</w:t>
            </w:r>
          </w:p>
        </w:tc>
        <w:tc>
          <w:tcPr/>
          <w:p>
            <w:pPr>
              <w:pStyle w:val="Compact"/>
              <w:jc w:val="left"/>
            </w:pPr>
            <w:r>
              <w:t xml:space="preserve">6 months</w:t>
            </w:r>
          </w:p>
        </w:tc>
        <w:tc>
          <w:tcPr/>
          <w:p>
            <w:pPr>
              <w:pStyle w:val="Compact"/>
              <w:jc w:val="left"/>
            </w:pPr>
            <w:r>
              <w:t xml:space="preserve">—</w:t>
            </w:r>
          </w:p>
        </w:tc>
        <w:tc>
          <w:tcPr/>
          <w:p>
            <w:pPr>
              <w:pStyle w:val="Compact"/>
              <w:jc w:val="left"/>
            </w:pPr>
            <w:r>
              <w:t xml:space="preserve">1,255,500</w:t>
            </w:r>
          </w:p>
        </w:tc>
      </w:tr>
      <w:tr>
        <w:tc>
          <w:tcPr/>
          <w:p>
            <w:pPr>
              <w:pStyle w:val="Compact"/>
              <w:jc w:val="left"/>
            </w:pPr>
            <w:r>
              <w:t xml:space="preserve">6</w:t>
            </w:r>
          </w:p>
        </w:tc>
        <w:tc>
          <w:tcPr/>
          <w:p>
            <w:pPr>
              <w:pStyle w:val="Compact"/>
              <w:jc w:val="left"/>
            </w:pPr>
            <w:r>
              <w:t xml:space="preserve">Value Added Tax (VAT) at 20% as required by Russian tax legislation</w:t>
            </w:r>
          </w:p>
        </w:tc>
        <w:tc>
          <w:tcPr/>
          <w:p>
            <w:pPr>
              <w:pStyle w:val="Compact"/>
              <w:jc w:val="left"/>
            </w:pPr>
            <w:r>
              <w:t xml:space="preserve">—</w:t>
            </w:r>
          </w:p>
        </w:tc>
        <w:tc>
          <w:tcPr/>
          <w:p>
            <w:pPr>
              <w:pStyle w:val="Compact"/>
              <w:jc w:val="left"/>
            </w:pPr>
            <w:r>
              <w:t xml:space="preserve">—</w:t>
            </w:r>
          </w:p>
        </w:tc>
        <w:tc>
          <w:tcPr/>
          <w:p>
            <w:pPr>
              <w:pStyle w:val="Compact"/>
              <w:jc w:val="left"/>
            </w:pPr>
            <w:r>
              <w:t xml:space="preserve">1,701,100</w:t>
            </w:r>
          </w:p>
        </w:tc>
      </w:tr>
      <w:tr>
        <w:tc>
          <w:tcPr>
            <w:gridSpan w:val="4"/>
          </w:tcPr>
          <w:p>
            <w:pPr>
              <w:pStyle w:val="Compact"/>
              <w:jc w:val="left"/>
            </w:pPr>
            <w:r>
              <w:t xml:space="preserve">TOTAL ESTIMATED COST (Quotation Estimate QE-2025-0847)</w:t>
            </w:r>
          </w:p>
        </w:tc>
        <w:tc>
          <w:tcPr/>
          <w:p>
            <w:pPr>
              <w:pStyle w:val="Compact"/>
              <w:jc w:val="left"/>
            </w:pPr>
            <w:r>
              <w:t xml:space="preserve">11,162,600 RUB</w:t>
            </w:r>
          </w:p>
        </w:tc>
      </w:tr>
    </w:tbl>
    <w:bookmarkEnd w:id="24"/>
    <w:bookmarkStart w:id="25" w:name="payment-terms"/>
    <w:p>
      <w:pPr>
        <w:pStyle w:val="Heading3"/>
      </w:pPr>
      <w:r>
        <w:t xml:space="preserve">4. Payment Terms</w:t>
      </w:r>
    </w:p>
    <w:p>
      <w:pPr>
        <w:pStyle w:val="FirstParagraph"/>
      </w:pPr>
      <w:r>
        <w:t xml:space="preserve">Payment for the services outlined in this</w:t>
      </w:r>
      <w:r>
        <w:t xml:space="preserve"> </w:t>
      </w:r>
      <w:r>
        <w:t xml:space="preserve">Quotation Estimate</w:t>
      </w:r>
      <w:r>
        <w:t xml:space="preserve"> </w:t>
      </w:r>
      <w:r>
        <w:t xml:space="preserve">shall be made in Russian Rubles via bank transfer to the account of Quantum Analytics &amp; Data Solutions LLC, Sberbank, Moscow, Russia. The payment schedule is as follows:</w:t>
      </w:r>
    </w:p>
    <w:p>
      <w:pPr>
        <w:numPr>
          <w:ilvl w:val="0"/>
          <w:numId w:val="1002"/>
        </w:numPr>
        <w:pStyle w:val="Compact"/>
      </w:pPr>
      <w:r>
        <w:rPr>
          <w:bCs/>
          <w:b/>
        </w:rPr>
        <w:t xml:space="preserve">30% advance payment</w:t>
      </w:r>
      <w:r>
        <w:t xml:space="preserve"> </w:t>
      </w:r>
      <w:r>
        <w:t xml:space="preserve">(3,348,780 RUB) due within 10 business days of contract execution, prior to the Statistician's onboarding in Moscow.</w:t>
      </w:r>
    </w:p>
    <w:p>
      <w:pPr>
        <w:numPr>
          <w:ilvl w:val="0"/>
          <w:numId w:val="1002"/>
        </w:numPr>
        <w:pStyle w:val="Compact"/>
      </w:pPr>
      <w:r>
        <w:rPr>
          <w:bCs/>
          <w:b/>
        </w:rPr>
        <w:t xml:space="preserve">40% interim payment</w:t>
      </w:r>
      <w:r>
        <w:t xml:space="preserve"> </w:t>
      </w:r>
      <w:r>
        <w:t xml:space="preserve">(4,465,040 RUB) due upon completion of the third month of the engagement, subject to delivery of the interim statistical report.</w:t>
      </w:r>
    </w:p>
    <w:p>
      <w:pPr>
        <w:numPr>
          <w:ilvl w:val="0"/>
          <w:numId w:val="1002"/>
        </w:numPr>
        <w:pStyle w:val="Compact"/>
      </w:pPr>
      <w:r>
        <w:rPr>
          <w:bCs/>
          <w:b/>
        </w:rPr>
        <w:t xml:space="preserve">30% final payment</w:t>
      </w:r>
      <w:r>
        <w:t xml:space="preserve"> </w:t>
      </w:r>
      <w:r>
        <w:t xml:space="preserve">(3,348,780 RUB) due within 15 business days of final project acceptance and delivery of all deliverables.</w:t>
      </w:r>
    </w:p>
    <w:bookmarkEnd w:id="25"/>
    <w:bookmarkStart w:id="26" w:name="terms-and-conditions"/>
    <w:p>
      <w:pPr>
        <w:pStyle w:val="Heading3"/>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30 calendar days from the date of issue. After 15 July 2025, all rates and terms are subject to revision.</w:t>
      </w:r>
    </w:p>
    <w:p>
      <w:pPr>
        <w:numPr>
          <w:ilvl w:val="0"/>
          <w:numId w:val="1003"/>
        </w:numPr>
        <w:pStyle w:val="Compact"/>
      </w:pPr>
      <w:r>
        <w:t xml:space="preserve">The</w:t>
      </w:r>
      <w:r>
        <w:t xml:space="preserve"> </w:t>
      </w:r>
      <w:r>
        <w:t xml:space="preserve">Statistician</w:t>
      </w:r>
      <w:r>
        <w:t xml:space="preserve"> </w:t>
      </w:r>
      <w:r>
        <w:t xml:space="preserve">shall comply with all applicable Russian labor laws, data protection regulations (152-FZ), and the Institute's internal security protocols while working in</w:t>
      </w:r>
      <w:r>
        <w:t xml:space="preserve"> </w:t>
      </w:r>
      <w:r>
        <w:t xml:space="preserve">Russia Moscow</w:t>
      </w:r>
      <w:r>
        <w:t xml:space="preserve">.</w:t>
      </w:r>
    </w:p>
    <w:p>
      <w:pPr>
        <w:numPr>
          <w:ilvl w:val="0"/>
          <w:numId w:val="1003"/>
        </w:numPr>
        <w:pStyle w:val="Compact"/>
      </w:pPr>
      <w:r>
        <w:t xml:space="preserve">All intellectual property, statistical models, code, and reports produced under this engagement shall be the exclusive property of the client upon full payment.</w:t>
      </w:r>
    </w:p>
    <w:p>
      <w:pPr>
        <w:numPr>
          <w:ilvl w:val="0"/>
          <w:numId w:val="1003"/>
        </w:numPr>
        <w:pStyle w:val="Compact"/>
      </w:pPr>
      <w:r>
        <w:t xml:space="preserve">Either party may terminate the agreement with 30 days' written notice. In the event of early termination, the client shall pay for all services rendered up to the termination date, plus a 10% administrative fee.</w:t>
      </w:r>
    </w:p>
    <w:p>
      <w:pPr>
        <w:numPr>
          <w:ilvl w:val="0"/>
          <w:numId w:val="1003"/>
        </w:numPr>
        <w:pStyle w:val="Compact"/>
      </w:pPr>
      <w:r>
        <w:t xml:space="preserve">Force majeure events, including but not limited to government-mandated restrictions in Moscow, Russia, shall suspend obligations without penalty for the duration of the event.</w:t>
      </w:r>
    </w:p>
    <w:p>
      <w:pPr>
        <w:numPr>
          <w:ilvl w:val="0"/>
          <w:numId w:val="1003"/>
        </w:numPr>
        <w:pStyle w:val="Compact"/>
      </w:pPr>
      <w:r>
        <w:t xml:space="preserve">Disputes arising from this</w:t>
      </w:r>
      <w:r>
        <w:t xml:space="preserve"> </w:t>
      </w:r>
      <w:r>
        <w:t xml:space="preserve">Quotation Estimate</w:t>
      </w:r>
      <w:r>
        <w:t xml:space="preserve"> </w:t>
      </w:r>
      <w:r>
        <w:t xml:space="preserve">and the resulting contract shall be resolved through arbitration at the Arbitration Court of the City of Moscow, in accordance with the Arbitration Procedure Code of the Russian Federation.</w:t>
      </w:r>
    </w:p>
    <w:p>
      <w:pPr>
        <w:numPr>
          <w:ilvl w:val="0"/>
          <w:numId w:val="1003"/>
        </w:numPr>
        <w:pStyle w:val="Compact"/>
      </w:pPr>
      <w:r>
        <w:t xml:space="preserve">The</w:t>
      </w:r>
      <w:r>
        <w:t xml:space="preserve"> </w:t>
      </w:r>
      <w:r>
        <w:t xml:space="preserve">Statistician</w:t>
      </w:r>
      <w:r>
        <w:t xml:space="preserve"> </w:t>
      </w:r>
      <w:r>
        <w:t xml:space="preserve">is required to maintain professional liability insurance with a minimum coverage of 5,000,000 RUB for the duration of the engagement in</w:t>
      </w:r>
      <w:r>
        <w:t xml:space="preserve"> </w:t>
      </w:r>
      <w:r>
        <w:t xml:space="preserve">Russia Moscow</w:t>
      </w:r>
      <w:r>
        <w:t xml:space="preserve">.</w:t>
      </w:r>
    </w:p>
    <w:bookmarkEnd w:id="26"/>
    <w:bookmarkStart w:id="29" w:name="acceptance-and-authorization"/>
    <w:p>
      <w:pPr>
        <w:pStyle w:val="Heading3"/>
      </w:pPr>
      <w:r>
        <w:t xml:space="preserve">6. Acceptance and Authorization</w:t>
      </w:r>
    </w:p>
    <w:p>
      <w:pPr>
        <w:pStyle w:val="FirstParagraph"/>
      </w:pPr>
      <w:r>
        <w:t xml:space="preserve">By signing below, both parties acknowledge that this</w:t>
      </w:r>
      <w:r>
        <w:t xml:space="preserve"> </w:t>
      </w:r>
      <w:r>
        <w:t xml:space="preserve">Quotation Estimate</w:t>
      </w:r>
      <w:r>
        <w:t xml:space="preserve"> </w:t>
      </w:r>
      <w:r>
        <w:t xml:space="preserve">accurately reflects the agreed-upon scope, cost, and terms for the engagement of a</w:t>
      </w:r>
      <w:r>
        <w:t xml:space="preserve"> </w:t>
      </w:r>
      <w:r>
        <w:t xml:space="preserve">Statistician</w:t>
      </w:r>
      <w:r>
        <w:t xml:space="preserve"> </w:t>
      </w:r>
      <w:r>
        <w:t xml:space="preserve">in</w:t>
      </w:r>
      <w:r>
        <w:t xml:space="preserve"> </w:t>
      </w:r>
      <w:r>
        <w:t xml:space="preserve">Russia Moscow</w:t>
      </w:r>
      <w:r>
        <w:t xml:space="preserve">, and that this document forms the basis for the subsequent service contract.</w:t>
      </w:r>
    </w:p>
    <w:bookmarkStart w:id="27" w:name="for-quantum-analytics-data-solutions-llc"/>
    <w:p>
      <w:pPr>
        <w:pStyle w:val="Heading4"/>
      </w:pPr>
      <w:r>
        <w:t xml:space="preserve">For Quantum Analytics &amp; Data Solutions LLC</w:t>
      </w:r>
    </w:p>
    <w:p>
      <w:pPr>
        <w:pStyle w:val="FirstParagraph"/>
      </w:pPr>
      <w:r>
        <w:t xml:space="preserve">Authorized Representative</w:t>
      </w:r>
    </w:p>
    <w:p>
      <w:pPr>
        <w:pStyle w:val="BodyText"/>
      </w:pPr>
      <w:r>
        <w:t xml:space="preserve">Name / Signature / Date</w:t>
      </w:r>
    </w:p>
    <w:bookmarkEnd w:id="27"/>
    <w:bookmarkStart w:id="28" w:name="X806749fed1fcf16fb06792417d9e7b492e21bac"/>
    <w:p>
      <w:pPr>
        <w:pStyle w:val="Heading4"/>
      </w:pPr>
      <w:r>
        <w:t xml:space="preserve">For State Research Institute of Applied Mathematics</w:t>
      </w:r>
    </w:p>
    <w:p>
      <w:pPr>
        <w:pStyle w:val="FirstParagraph"/>
      </w:pPr>
      <w:r>
        <w:t xml:space="preserve">Authorized Representative</w:t>
      </w:r>
    </w:p>
    <w:p>
      <w:pPr>
        <w:pStyle w:val="BodyText"/>
      </w:pPr>
      <w:r>
        <w:t xml:space="preserve">Name / Signature / Date</w:t>
      </w:r>
    </w:p>
    <w:bookmarkEnd w:id="28"/>
    <w:p>
      <w:pPr>
        <w:pStyle w:val="BodyText"/>
      </w:pPr>
      <w:r>
        <w:t xml:space="preserve">Quotation Estimate No. QE-2025-0847 | Quantum Analytics &amp; Data Solutions LLC | Moscow, Russia</w:t>
      </w:r>
    </w:p>
    <w:p>
      <w:pPr>
        <w:pStyle w:val="BodyText"/>
      </w:pPr>
      <w:r>
        <w:t xml:space="preserve">This document is confidential and intended solely for the named recipient. Unauthorized reproduction or distribution is prohibited under Russian Federal Law.</w:t>
      </w:r>
    </w:p>
    <w:p>
      <w:pPr>
        <w:pStyle w:val="BodyText"/>
      </w:pPr>
      <w:r>
        <w:t xml:space="preserve">Page 1 of 1 | Generated: 15 June 2025</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Statistician Services - Russia Moscow</dc:title>
  <dc:creator/>
  <dc:language>en</dc:language>
  <cp:keywords/>
  <dcterms:created xsi:type="dcterms:W3CDTF">2026-10-10T02:22:49Z</dcterms:created>
  <dcterms:modified xsi:type="dcterms:W3CDTF">2026-10-10T02:22:49Z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