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quotation-estimate"/>
    <w:p>
      <w:pPr>
        <w:pStyle w:val="Heading1"/>
      </w:pPr>
      <w:r>
        <w:t xml:space="preserve">QUOTATION ESTIMATE</w:t>
      </w:r>
    </w:p>
    <w:p>
      <w:pPr>
        <w:pStyle w:val="FirstParagraph"/>
      </w:pPr>
      <w:r>
        <w:rPr>
          <w:bCs/>
          <w:b/>
        </w:rPr>
        <w:t xml:space="preserve">Statistical Consulting &amp; Data Analytics Services</w:t>
      </w:r>
    </w:p>
    <w:p>
      <w:pPr>
        <w:pStyle w:val="BodyText"/>
      </w:pPr>
      <w:r>
        <w:t xml:space="preserve">Professional Statistician Services for the United Arab Emirates Abu Dhabi Region</w:t>
      </w:r>
    </w:p>
    <w:p>
      <w:pPr>
        <w:pStyle w:val="BodyText"/>
      </w:pPr>
      <w:r>
        <w:t xml:space="preserve">Ref: QE-STAT-2025-0472 | Currency: AED (United Arab Emirates Dirham)</w:t>
      </w:r>
    </w:p>
    <w:bookmarkEnd w:id="20"/>
    <w:p>
      <w:pPr>
        <w:pStyle w:val="BodyText"/>
      </w:pPr>
      <w:r>
        <w:rPr>
          <w:bCs/>
          <w:b/>
        </w:rPr>
        <w:t xml:space="preserve">Date of Issue:</w:t>
      </w:r>
      <w:r>
        <w:t xml:space="preserve"> </w:t>
      </w:r>
      <w:r>
        <w:t xml:space="preserve">15 June 2025</w:t>
      </w:r>
      <w:r>
        <w:br/>
      </w:r>
      <w:r>
        <w:rPr>
          <w:bCs/>
          <w:b/>
        </w:rPr>
        <w:t xml:space="preserve">Quotation Valid Until:</w:t>
      </w:r>
      <w:r>
        <w:t xml:space="preserve"> </w:t>
      </w:r>
      <w:r>
        <w:t xml:space="preserve">15 July 2025</w:t>
      </w:r>
      <w:r>
        <w:br/>
      </w:r>
      <w:r>
        <w:rPr>
          <w:bCs/>
          <w:b/>
        </w:rPr>
        <w:t xml:space="preserve">Prepared By:</w:t>
      </w:r>
      <w:r>
        <w:t xml:space="preserve"> </w:t>
      </w:r>
      <w:r>
        <w:t xml:space="preserve">Dr. Khalid Al Mansoori, Lead Statistician</w:t>
      </w:r>
    </w:p>
    <w:p>
      <w:pPr>
        <w:pStyle w:val="BodyText"/>
      </w:pPr>
      <w:r>
        <w:rPr>
          <w:bCs/>
          <w:b/>
        </w:rPr>
        <w:t xml:space="preserve">Client Name:</w:t>
      </w:r>
      <w:r>
        <w:t xml:space="preserve"> </w:t>
      </w:r>
      <w:r>
        <w:t xml:space="preserve">[Client Organization Name]</w:t>
      </w:r>
      <w:r>
        <w:br/>
      </w:r>
      <w:r>
        <w:rPr>
          <w:bCs/>
          <w:b/>
        </w:rPr>
        <w:t xml:space="preserve">Client Address:</w:t>
      </w:r>
      <w:r>
        <w:t xml:space="preserve"> </w:t>
      </w:r>
      <w:r>
        <w:t xml:space="preserve">Abu Dhabi, United Arab Emirates</w:t>
      </w:r>
      <w:r>
        <w:br/>
      </w:r>
      <w:r>
        <w:rPr>
          <w:bCs/>
          <w:b/>
        </w:rPr>
        <w:t xml:space="preserve">Project Reference:</w:t>
      </w:r>
      <w:r>
        <w:t xml:space="preserve"> </w:t>
      </w:r>
      <w:r>
        <w:t xml:space="preserve">STAT-ABH-2025-001</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to provide a comprehensive and transparent breakdown of professional costs associated with engaging a qualified</w:t>
      </w:r>
      <w:r>
        <w:t xml:space="preserve"> </w:t>
      </w:r>
      <w:r>
        <w:t xml:space="preserve">Statistician</w:t>
      </w:r>
      <w:r>
        <w:t xml:space="preserve"> </w:t>
      </w:r>
      <w:r>
        <w:t xml:space="preserve">to deliver advanced statistical consulting, data analysis, and research support services within the</w:t>
      </w:r>
      <w:r>
        <w:t xml:space="preserve"> </w:t>
      </w:r>
      <w:r>
        <w:t xml:space="preserve">United Arab Emirates Abu Dhabi</w:t>
      </w:r>
      <w:r>
        <w:t xml:space="preserve"> </w:t>
      </w:r>
      <w:r>
        <w:t xml:space="preserve">metropolitan area. This document serves as a binding financial proposal that outlines the scope of work, deliverables, timelines, and associated fees for the engagement of statistical expertise tailored to the client's operational and strategic requirements.</w:t>
      </w:r>
    </w:p>
    <w:p>
      <w:pPr>
        <w:pStyle w:val="BodyText"/>
      </w:pPr>
      <w:r>
        <w:t xml:space="preserve">The</w:t>
      </w:r>
      <w:r>
        <w:t xml:space="preserve"> </w:t>
      </w:r>
      <w:r>
        <w:t xml:space="preserve">Statistician</w:t>
      </w:r>
      <w:r>
        <w:t xml:space="preserve"> </w:t>
      </w:r>
      <w:r>
        <w:t xml:space="preserve">engaged under this</w:t>
      </w:r>
      <w:r>
        <w:t xml:space="preserve"> </w:t>
      </w:r>
      <w:r>
        <w:t xml:space="preserve">Quotation Estimate</w:t>
      </w:r>
      <w:r>
        <w:t xml:space="preserve"> </w:t>
      </w:r>
      <w:r>
        <w:t xml:space="preserve">holds a Doctorate in Applied Statistics from a recognized international university, possesses over fifteen years of professional experience in quantitative research, and is fully registered and compliant with the regulatory frameworks governing professional services in the</w:t>
      </w:r>
      <w:r>
        <w:t xml:space="preserve"> </w:t>
      </w:r>
      <w:r>
        <w:t xml:space="preserve">United Arab Emirates Abu Dhabi</w:t>
      </w:r>
      <w:r>
        <w:t xml:space="preserve"> </w:t>
      </w:r>
      <w:r>
        <w:t xml:space="preserve">jurisdiction. All services rendered shall adhere to the highest international standards of statistical practice, data integrity, and professional ethics as mandated by the Abu Dhabi Department of Economic Development and the relevant federal authorities of the United Arab Emirates.</w:t>
      </w:r>
    </w:p>
    <w:bookmarkEnd w:id="21"/>
    <w:bookmarkStart w:id="22" w:name="X4f77e89a0aee909b860b2a3b19f1249e2f3f2b6"/>
    <w:p>
      <w:pPr>
        <w:pStyle w:val="Heading2"/>
      </w:pPr>
      <w:r>
        <w:t xml:space="preserve">2. Scope of Services – Statistician Engagement</w:t>
      </w:r>
    </w:p>
    <w:p>
      <w:pPr>
        <w:pStyle w:val="FirstParagraph"/>
      </w:pPr>
      <w:r>
        <w:t xml:space="preserve">The following services are included within the scope of this</w:t>
      </w:r>
      <w:r>
        <w:t xml:space="preserve"> </w:t>
      </w:r>
      <w:r>
        <w:t xml:space="preserve">Quotation Estimate</w:t>
      </w:r>
      <w:r>
        <w:t xml:space="preserve"> </w:t>
      </w:r>
      <w:r>
        <w:t xml:space="preserve">for the engagement of a</w:t>
      </w:r>
      <w:r>
        <w:t xml:space="preserve"> </w:t>
      </w:r>
      <w:r>
        <w:t xml:space="preserve">Statistician</w:t>
      </w:r>
      <w:r>
        <w:t xml:space="preserve"> </w:t>
      </w:r>
      <w:r>
        <w:t xml:space="preserve">in the</w:t>
      </w:r>
      <w:r>
        <w:t xml:space="preserve"> </w:t>
      </w:r>
      <w:r>
        <w:t xml:space="preserve">United Arab Emirates Abu Dhabi</w:t>
      </w:r>
      <w:r>
        <w:t xml:space="preserve"> </w:t>
      </w:r>
      <w:r>
        <w:t xml:space="preserve">region:</w:t>
      </w:r>
    </w:p>
    <w:p>
      <w:pPr>
        <w:numPr>
          <w:ilvl w:val="0"/>
          <w:numId w:val="1001"/>
        </w:numPr>
        <w:pStyle w:val="Compact"/>
      </w:pPr>
      <w:r>
        <w:t xml:space="preserve">Design and implementation of comprehensive statistical research methodologies, including survey design, sampling strategies, and experimental frameworks.</w:t>
      </w:r>
    </w:p>
    <w:p>
      <w:pPr>
        <w:numPr>
          <w:ilvl w:val="0"/>
          <w:numId w:val="1001"/>
        </w:numPr>
        <w:pStyle w:val="Compact"/>
      </w:pPr>
      <w:r>
        <w:t xml:space="preserve">Advanced data analysis utilizing multivariate statistical techniques, regression modeling, time-series forecasting, and Bayesian inference methods.</w:t>
      </w:r>
    </w:p>
    <w:p>
      <w:pPr>
        <w:numPr>
          <w:ilvl w:val="0"/>
          <w:numId w:val="1001"/>
        </w:numPr>
        <w:pStyle w:val="Compact"/>
      </w:pPr>
      <w:r>
        <w:t xml:space="preserve">Development of predictive analytics models and machine learning algorithms for business intelligence and strategic decision-making.</w:t>
      </w:r>
    </w:p>
    <w:p>
      <w:pPr>
        <w:numPr>
          <w:ilvl w:val="0"/>
          <w:numId w:val="1001"/>
        </w:numPr>
        <w:pStyle w:val="Compact"/>
      </w:pPr>
      <w:r>
        <w:t xml:space="preserve">Preparation of detailed statistical reports, visualizations, and executive summaries for stakeholder presentation.</w:t>
      </w:r>
    </w:p>
    <w:p>
      <w:pPr>
        <w:numPr>
          <w:ilvl w:val="0"/>
          <w:numId w:val="1001"/>
        </w:numPr>
        <w:pStyle w:val="Compact"/>
      </w:pPr>
      <w:r>
        <w:t xml:space="preserve">On-site consultation and advisory sessions at the client's premises in Abu Dhabi, United Arab Emirates, as required.</w:t>
      </w:r>
    </w:p>
    <w:p>
      <w:pPr>
        <w:numPr>
          <w:ilvl w:val="0"/>
          <w:numId w:val="1001"/>
        </w:numPr>
        <w:pStyle w:val="Compact"/>
      </w:pPr>
      <w:r>
        <w:t xml:space="preserve">Training and capacity-building workshops for the client's internal data and analytics team.</w:t>
      </w:r>
    </w:p>
    <w:p>
      <w:pPr>
        <w:numPr>
          <w:ilvl w:val="0"/>
          <w:numId w:val="1001"/>
        </w:numPr>
        <w:pStyle w:val="Compact"/>
      </w:pPr>
      <w:r>
        <w:t xml:space="preserve">Quality assurance and peer review of all statistical outputs to ensure methodological rigor and regulatory compliance.</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Quantity</w:t>
            </w:r>
          </w:p>
        </w:tc>
        <w:tc>
          <w:tcPr/>
          <w:p>
            <w:pPr>
              <w:pStyle w:val="Compact"/>
              <w:jc w:val="left"/>
            </w:pPr>
            <w:r>
              <w:t xml:space="preserve">Unit Rate (AED)</w:t>
            </w:r>
          </w:p>
        </w:tc>
        <w:tc>
          <w:tcPr/>
          <w:p>
            <w:pPr>
              <w:pStyle w:val="Compact"/>
              <w:jc w:val="left"/>
            </w:pPr>
            <w:r>
              <w:t xml:space="preserve">Total (AED)</w:t>
            </w:r>
          </w:p>
        </w:tc>
      </w:tr>
      <w:tr>
        <w:tc>
          <w:tcPr/>
          <w:p>
            <w:pPr>
              <w:pStyle w:val="Compact"/>
              <w:jc w:val="left"/>
            </w:pPr>
            <w:r>
              <w:t xml:space="preserve">01</w:t>
            </w:r>
          </w:p>
        </w:tc>
        <w:tc>
          <w:tcPr/>
          <w:p>
            <w:pPr>
              <w:pStyle w:val="Compact"/>
              <w:jc w:val="left"/>
            </w:pPr>
            <w:r>
              <w:t xml:space="preserve">Initial consultation and project scoping by the Statistician in Abu Dhabi, UAE</w:t>
            </w:r>
          </w:p>
        </w:tc>
        <w:tc>
          <w:tcPr/>
          <w:p>
            <w:pPr>
              <w:pStyle w:val="Compact"/>
              <w:jc w:val="left"/>
            </w:pPr>
            <w:r>
              <w:t xml:space="preserve">2 days</w:t>
            </w:r>
          </w:p>
        </w:tc>
        <w:tc>
          <w:tcPr/>
          <w:p>
            <w:pPr>
              <w:pStyle w:val="Compact"/>
              <w:jc w:val="left"/>
            </w:pPr>
            <w:r>
              <w:t xml:space="preserve">4,500</w:t>
            </w:r>
          </w:p>
        </w:tc>
        <w:tc>
          <w:tcPr/>
          <w:p>
            <w:pPr>
              <w:pStyle w:val="Compact"/>
              <w:jc w:val="left"/>
            </w:pPr>
            <w:r>
              <w:t xml:space="preserve">9,000</w:t>
            </w:r>
          </w:p>
        </w:tc>
      </w:tr>
      <w:tr>
        <w:tc>
          <w:tcPr/>
          <w:p>
            <w:pPr>
              <w:pStyle w:val="Compact"/>
              <w:jc w:val="left"/>
            </w:pPr>
            <w:r>
              <w:t xml:space="preserve">02</w:t>
            </w:r>
          </w:p>
        </w:tc>
        <w:tc>
          <w:tcPr/>
          <w:p>
            <w:pPr>
              <w:pStyle w:val="Compact"/>
              <w:jc w:val="left"/>
            </w:pPr>
            <w:r>
              <w:t xml:space="preserve">Statistical methodology design and research framework development</w:t>
            </w:r>
          </w:p>
        </w:tc>
        <w:tc>
          <w:tcPr/>
          <w:p>
            <w:pPr>
              <w:pStyle w:val="Compact"/>
              <w:jc w:val="left"/>
            </w:pPr>
            <w:r>
              <w:t xml:space="preserve">10 days</w:t>
            </w:r>
          </w:p>
        </w:tc>
        <w:tc>
          <w:tcPr/>
          <w:p>
            <w:pPr>
              <w:pStyle w:val="Compact"/>
              <w:jc w:val="left"/>
            </w:pPr>
            <w:r>
              <w:t xml:space="preserve">3,800</w:t>
            </w:r>
          </w:p>
        </w:tc>
        <w:tc>
          <w:tcPr/>
          <w:p>
            <w:pPr>
              <w:pStyle w:val="Compact"/>
              <w:jc w:val="left"/>
            </w:pPr>
            <w:r>
              <w:t xml:space="preserve">38,000</w:t>
            </w:r>
          </w:p>
        </w:tc>
      </w:tr>
      <w:tr>
        <w:tc>
          <w:tcPr/>
          <w:p>
            <w:pPr>
              <w:pStyle w:val="Compact"/>
              <w:jc w:val="left"/>
            </w:pPr>
            <w:r>
              <w:t xml:space="preserve">03</w:t>
            </w:r>
          </w:p>
        </w:tc>
        <w:tc>
          <w:tcPr/>
          <w:p>
            <w:pPr>
              <w:pStyle w:val="Compact"/>
              <w:jc w:val="left"/>
            </w:pPr>
            <w:r>
              <w:t xml:space="preserve">Data collection oversight, cleaning, and preprocessing</w:t>
            </w:r>
          </w:p>
        </w:tc>
        <w:tc>
          <w:tcPr/>
          <w:p>
            <w:pPr>
              <w:pStyle w:val="Compact"/>
              <w:jc w:val="left"/>
            </w:pPr>
            <w:r>
              <w:t xml:space="preserve">15 days</w:t>
            </w:r>
          </w:p>
        </w:tc>
        <w:tc>
          <w:tcPr/>
          <w:p>
            <w:pPr>
              <w:pStyle w:val="Compact"/>
              <w:jc w:val="left"/>
            </w:pPr>
            <w:r>
              <w:t xml:space="preserve">3,200</w:t>
            </w:r>
          </w:p>
        </w:tc>
        <w:tc>
          <w:tcPr/>
          <w:p>
            <w:pPr>
              <w:pStyle w:val="Compact"/>
              <w:jc w:val="left"/>
            </w:pPr>
            <w:r>
              <w:t xml:space="preserve">48,000</w:t>
            </w:r>
          </w:p>
        </w:tc>
      </w:tr>
      <w:tr>
        <w:tc>
          <w:tcPr/>
          <w:p>
            <w:pPr>
              <w:pStyle w:val="Compact"/>
              <w:jc w:val="left"/>
            </w:pPr>
            <w:r>
              <w:t xml:space="preserve">04</w:t>
            </w:r>
          </w:p>
        </w:tc>
        <w:tc>
          <w:tcPr/>
          <w:p>
            <w:pPr>
              <w:pStyle w:val="Compact"/>
              <w:jc w:val="left"/>
            </w:pPr>
            <w:r>
              <w:t xml:space="preserve">Advanced statistical modeling and predictive analytics implementation</w:t>
            </w:r>
          </w:p>
        </w:tc>
        <w:tc>
          <w:tcPr/>
          <w:p>
            <w:pPr>
              <w:pStyle w:val="Compact"/>
              <w:jc w:val="left"/>
            </w:pPr>
            <w:r>
              <w:t xml:space="preserve">20 days</w:t>
            </w:r>
          </w:p>
        </w:tc>
        <w:tc>
          <w:tcPr/>
          <w:p>
            <w:pPr>
              <w:pStyle w:val="Compact"/>
              <w:jc w:val="left"/>
            </w:pPr>
            <w:r>
              <w:t xml:space="preserve">4,200</w:t>
            </w:r>
          </w:p>
        </w:tc>
        <w:tc>
          <w:tcPr/>
          <w:p>
            <w:pPr>
              <w:pStyle w:val="Compact"/>
              <w:jc w:val="left"/>
            </w:pPr>
            <w:r>
              <w:t xml:space="preserve">84,000</w:t>
            </w:r>
          </w:p>
        </w:tc>
      </w:tr>
      <w:tr>
        <w:tc>
          <w:tcPr/>
          <w:p>
            <w:pPr>
              <w:pStyle w:val="Compact"/>
              <w:jc w:val="left"/>
            </w:pPr>
            <w:r>
              <w:t xml:space="preserve">05</w:t>
            </w:r>
          </w:p>
        </w:tc>
        <w:tc>
          <w:tcPr/>
          <w:p>
            <w:pPr>
              <w:pStyle w:val="Compact"/>
              <w:jc w:val="left"/>
            </w:pPr>
            <w:r>
              <w:t xml:space="preserve">Report writing, data visualization, and executive presentation preparation</w:t>
            </w:r>
          </w:p>
        </w:tc>
        <w:tc>
          <w:tcPr/>
          <w:p>
            <w:pPr>
              <w:pStyle w:val="Compact"/>
              <w:jc w:val="left"/>
            </w:pPr>
            <w:r>
              <w:t xml:space="preserve">8 days</w:t>
            </w:r>
          </w:p>
        </w:tc>
        <w:tc>
          <w:tcPr/>
          <w:p>
            <w:pPr>
              <w:pStyle w:val="Compact"/>
              <w:jc w:val="left"/>
            </w:pPr>
            <w:r>
              <w:t xml:space="preserve">3,500</w:t>
            </w:r>
          </w:p>
        </w:tc>
        <w:tc>
          <w:tcPr/>
          <w:p>
            <w:pPr>
              <w:pStyle w:val="Compact"/>
              <w:jc w:val="left"/>
            </w:pPr>
            <w:r>
              <w:t xml:space="preserve">28,000</w:t>
            </w:r>
          </w:p>
        </w:tc>
      </w:tr>
      <w:tr>
        <w:tc>
          <w:tcPr/>
          <w:p>
            <w:pPr>
              <w:pStyle w:val="Compact"/>
              <w:jc w:val="left"/>
            </w:pPr>
            <w:r>
              <w:t xml:space="preserve">06</w:t>
            </w:r>
          </w:p>
        </w:tc>
        <w:tc>
          <w:tcPr/>
          <w:p>
            <w:pPr>
              <w:pStyle w:val="Compact"/>
              <w:jc w:val="left"/>
            </w:pPr>
            <w:r>
              <w:t xml:space="preserve">On-site advisory sessions and stakeholder briefings in Abu Dhabi, UAE</w:t>
            </w:r>
          </w:p>
        </w:tc>
        <w:tc>
          <w:tcPr/>
          <w:p>
            <w:pPr>
              <w:pStyle w:val="Compact"/>
              <w:jc w:val="left"/>
            </w:pPr>
            <w:r>
              <w:t xml:space="preserve">5 sessions</w:t>
            </w:r>
          </w:p>
        </w:tc>
        <w:tc>
          <w:tcPr/>
          <w:p>
            <w:pPr>
              <w:pStyle w:val="Compact"/>
              <w:jc w:val="left"/>
            </w:pPr>
            <w:r>
              <w:t xml:space="preserve">5,000</w:t>
            </w:r>
          </w:p>
        </w:tc>
        <w:tc>
          <w:tcPr/>
          <w:p>
            <w:pPr>
              <w:pStyle w:val="Compact"/>
              <w:jc w:val="left"/>
            </w:pPr>
            <w:r>
              <w:t xml:space="preserve">25,000</w:t>
            </w:r>
          </w:p>
        </w:tc>
      </w:tr>
      <w:tr>
        <w:tc>
          <w:tcPr/>
          <w:p>
            <w:pPr>
              <w:pStyle w:val="Compact"/>
              <w:jc w:val="left"/>
            </w:pPr>
            <w:r>
              <w:t xml:space="preserve">07</w:t>
            </w:r>
          </w:p>
        </w:tc>
        <w:tc>
          <w:tcPr/>
          <w:p>
            <w:pPr>
              <w:pStyle w:val="Compact"/>
              <w:jc w:val="left"/>
            </w:pPr>
            <w:r>
              <w:t xml:space="preserve">Team training workshop on statistical methods and data literacy</w:t>
            </w:r>
          </w:p>
        </w:tc>
        <w:tc>
          <w:tcPr/>
          <w:p>
            <w:pPr>
              <w:pStyle w:val="Compact"/>
              <w:jc w:val="left"/>
            </w:pPr>
            <w:r>
              <w:t xml:space="preserve">3 days</w:t>
            </w:r>
          </w:p>
        </w:tc>
        <w:tc>
          <w:tcPr/>
          <w:p>
            <w:pPr>
              <w:pStyle w:val="Compact"/>
              <w:jc w:val="left"/>
            </w:pPr>
            <w:r>
              <w:t xml:space="preserve">6,000</w:t>
            </w:r>
          </w:p>
        </w:tc>
        <w:tc>
          <w:tcPr/>
          <w:p>
            <w:pPr>
              <w:pStyle w:val="Compact"/>
              <w:jc w:val="left"/>
            </w:pPr>
            <w:r>
              <w:t xml:space="preserve">18,000</w:t>
            </w:r>
          </w:p>
        </w:tc>
      </w:tr>
      <w:tr>
        <w:tc>
          <w:tcPr/>
          <w:p>
            <w:pPr>
              <w:pStyle w:val="Compact"/>
              <w:jc w:val="left"/>
            </w:pPr>
            <w:r>
              <w:t xml:space="preserve">08</w:t>
            </w:r>
          </w:p>
        </w:tc>
        <w:tc>
          <w:tcPr/>
          <w:p>
            <w:pPr>
              <w:pStyle w:val="Compact"/>
              <w:jc w:val="left"/>
            </w:pPr>
            <w:r>
              <w:t xml:space="preserve">Quality assurance, peer review, and final deliverable certification</w:t>
            </w:r>
          </w:p>
        </w:tc>
        <w:tc>
          <w:tcPr/>
          <w:p>
            <w:pPr>
              <w:pStyle w:val="Compact"/>
              <w:jc w:val="left"/>
            </w:pPr>
            <w:r>
              <w:t xml:space="preserve">5 days</w:t>
            </w:r>
          </w:p>
        </w:tc>
        <w:tc>
          <w:tcPr/>
          <w:p>
            <w:pPr>
              <w:pStyle w:val="Compact"/>
              <w:jc w:val="left"/>
            </w:pPr>
            <w:r>
              <w:t xml:space="preserve">3,000</w:t>
            </w:r>
          </w:p>
        </w:tc>
        <w:tc>
          <w:tcPr/>
          <w:p>
            <w:pPr>
              <w:pStyle w:val="Compact"/>
              <w:jc w:val="left"/>
            </w:pPr>
            <w:r>
              <w:t xml:space="preserve">15,000</w:t>
            </w:r>
          </w:p>
        </w:tc>
      </w:tr>
      <w:tr>
        <w:tc>
          <w:tcPr/>
          <w:p>
            <w:pPr>
              <w:pStyle w:val="Compact"/>
              <w:jc w:val="left"/>
            </w:pPr>
            <w:r>
              <w:t xml:space="preserve">09</w:t>
            </w:r>
          </w:p>
        </w:tc>
        <w:tc>
          <w:tcPr/>
          <w:p>
            <w:pPr>
              <w:pStyle w:val="Compact"/>
              <w:jc w:val="left"/>
            </w:pPr>
            <w:r>
              <w:t xml:space="preserve">Software licensing and computational resources (R, Python, SPSS, SAS)</w:t>
            </w:r>
          </w:p>
        </w:tc>
        <w:tc>
          <w:tcPr/>
          <w:p>
            <w:pPr>
              <w:pStyle w:val="Compact"/>
              <w:jc w:val="left"/>
            </w:pPr>
            <w:r>
              <w:t xml:space="preserve">Project duration</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10</w:t>
            </w:r>
          </w:p>
        </w:tc>
        <w:tc>
          <w:tcPr/>
          <w:p>
            <w:pPr>
              <w:pStyle w:val="Compact"/>
              <w:jc w:val="left"/>
            </w:pPr>
            <w:r>
              <w:t xml:space="preserve">Travel, accommodation, and local transportation within Abu Dhabi, UAE</w:t>
            </w:r>
          </w:p>
        </w:tc>
        <w:tc>
          <w:tcPr/>
          <w:p>
            <w:pPr>
              <w:pStyle w:val="Compact"/>
              <w:jc w:val="left"/>
            </w:pPr>
            <w:r>
              <w:t xml:space="preserve">Project duration</w:t>
            </w:r>
          </w:p>
        </w:tc>
        <w:tc>
          <w:tcPr/>
          <w:p>
            <w:pPr>
              <w:pStyle w:val="Compact"/>
              <w:jc w:val="left"/>
            </w:pPr>
            <w:r>
              <w:t xml:space="preserve">8,500</w:t>
            </w:r>
          </w:p>
        </w:tc>
        <w:tc>
          <w:tcPr/>
          <w:p>
            <w:pPr>
              <w:pStyle w:val="Compact"/>
              <w:jc w:val="left"/>
            </w:pPr>
            <w:r>
              <w:t xml:space="preserve">8,500</w:t>
            </w:r>
          </w:p>
        </w:tc>
      </w:tr>
      <w:tr>
        <w:tc>
          <w:tcPr>
            <w:gridSpan w:val="4"/>
          </w:tcPr>
          <w:p>
            <w:pPr>
              <w:pStyle w:val="Compact"/>
              <w:jc w:val="left"/>
            </w:pPr>
            <w:r>
              <w:t xml:space="preserve">Subtotal</w:t>
            </w:r>
          </w:p>
        </w:tc>
        <w:tc>
          <w:tcPr/>
          <w:p>
            <w:pPr>
              <w:pStyle w:val="Compact"/>
              <w:jc w:val="left"/>
            </w:pPr>
            <w:r>
              <w:t xml:space="preserve">285,500</w:t>
            </w:r>
          </w:p>
        </w:tc>
      </w:tr>
      <w:tr>
        <w:tc>
          <w:tcPr>
            <w:gridSpan w:val="4"/>
          </w:tcPr>
          <w:p>
            <w:pPr>
              <w:pStyle w:val="Compact"/>
              <w:jc w:val="left"/>
            </w:pPr>
            <w:r>
              <w:t xml:space="preserve">VAT (5% – United Arab Emirates Standard Rate)</w:t>
            </w:r>
          </w:p>
        </w:tc>
        <w:tc>
          <w:tcPr/>
          <w:p>
            <w:pPr>
              <w:pStyle w:val="Compact"/>
              <w:jc w:val="left"/>
            </w:pPr>
            <w:r>
              <w:t xml:space="preserve">14,275</w:t>
            </w:r>
          </w:p>
        </w:tc>
      </w:tr>
      <w:tr>
        <w:tc>
          <w:tcPr>
            <w:gridSpan w:val="4"/>
          </w:tcPr>
          <w:p>
            <w:pPr>
              <w:pStyle w:val="Compact"/>
              <w:jc w:val="left"/>
            </w:pPr>
            <w:r>
              <w:rPr>
                <w:bCs/>
                <w:b/>
              </w:rPr>
              <w:t xml:space="preserve">GRAND TOTAL (AED)</w:t>
            </w:r>
          </w:p>
        </w:tc>
        <w:tc>
          <w:tcPr/>
          <w:p>
            <w:pPr>
              <w:pStyle w:val="Compact"/>
              <w:jc w:val="left"/>
            </w:pPr>
            <w:r>
              <w:rPr>
                <w:bCs/>
                <w:b/>
              </w:rPr>
              <w:t xml:space="preserve">299,775</w:t>
            </w:r>
          </w:p>
        </w:tc>
      </w:tr>
    </w:tbl>
    <w:bookmarkEnd w:id="23"/>
    <w:bookmarkStart w:id="24" w:name="payment-terms-and-schedule"/>
    <w:p>
      <w:pPr>
        <w:pStyle w:val="Heading2"/>
      </w:pPr>
      <w:r>
        <w:t xml:space="preserve">4. Payment Terms and Schedule</w:t>
      </w:r>
    </w:p>
    <w:p>
      <w:pPr>
        <w:pStyle w:val="FirstParagraph"/>
      </w:pPr>
      <w:r>
        <w:t xml:space="preserve">Payment for the services outlined in this</w:t>
      </w:r>
      <w:r>
        <w:t xml:space="preserve"> </w:t>
      </w:r>
      <w:r>
        <w:t xml:space="preserve">Quotation Estimate</w:t>
      </w:r>
      <w:r>
        <w:t xml:space="preserve"> </w:t>
      </w:r>
      <w:r>
        <w:t xml:space="preserve">shall be made in accordance with the following schedule, all amounts denominated in United Arab Emirates Dirhams (AED):</w:t>
      </w:r>
    </w:p>
    <w:p>
      <w:pPr>
        <w:numPr>
          <w:ilvl w:val="0"/>
          <w:numId w:val="1002"/>
        </w:numPr>
        <w:pStyle w:val="Compact"/>
      </w:pPr>
      <w:r>
        <w:rPr>
          <w:bCs/>
          <w:b/>
        </w:rPr>
        <w:t xml:space="preserve">30% Advance Payment:</w:t>
      </w:r>
      <w:r>
        <w:t xml:space="preserve"> </w:t>
      </w:r>
      <w:r>
        <w:t xml:space="preserve">Due upon signed acceptance of this Quotation Estimate and execution of the service agreement. Amount: AED 89,932.50.</w:t>
      </w:r>
    </w:p>
    <w:p>
      <w:pPr>
        <w:numPr>
          <w:ilvl w:val="0"/>
          <w:numId w:val="1002"/>
        </w:numPr>
        <w:pStyle w:val="Compact"/>
      </w:pPr>
      <w:r>
        <w:rPr>
          <w:bCs/>
          <w:b/>
        </w:rPr>
        <w:t xml:space="preserve">40% Milestone Payment:</w:t>
      </w:r>
      <w:r>
        <w:t xml:space="preserve"> </w:t>
      </w:r>
      <w:r>
        <w:t xml:space="preserve">Due upon completion of data analysis and delivery of the interim statistical report. Amount: AED 119,910.00.</w:t>
      </w:r>
    </w:p>
    <w:p>
      <w:pPr>
        <w:numPr>
          <w:ilvl w:val="0"/>
          <w:numId w:val="1002"/>
        </w:numPr>
        <w:pStyle w:val="Compact"/>
      </w:pPr>
      <w:r>
        <w:rPr>
          <w:bCs/>
          <w:b/>
        </w:rPr>
        <w:t xml:space="preserve">30% Final Payment:</w:t>
      </w:r>
      <w:r>
        <w:t xml:space="preserve"> </w:t>
      </w:r>
      <w:r>
        <w:t xml:space="preserve">Due upon delivery of the final report, completion of training sessions, and formal acceptance by the client. Amount: AED 89,932.50.</w:t>
      </w:r>
    </w:p>
    <w:p>
      <w:pPr>
        <w:pStyle w:val="FirstParagraph"/>
      </w:pPr>
      <w:r>
        <w:t xml:space="preserve">All payments shall be remitted via bank transfer to the designated account of the service provider. Late payments shall attract a penalty of 2% per month as per the commercial regulations of the United Arab Emirates Abu Dhabi jurisdiction.</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Beyond this period, pricing may be subject to revision based on market conditions and resource availability in the United Arab Emirates Abu Dhabi region.</w:t>
      </w:r>
    </w:p>
    <w:p>
      <w:pPr>
        <w:numPr>
          <w:ilvl w:val="0"/>
          <w:numId w:val="1003"/>
        </w:numPr>
        <w:pStyle w:val="Compact"/>
      </w:pPr>
      <w:r>
        <w:t xml:space="preserve">The</w:t>
      </w:r>
      <w:r>
        <w:t xml:space="preserve"> </w:t>
      </w:r>
      <w:r>
        <w:t xml:space="preserve">Statistician</w:t>
      </w:r>
      <w:r>
        <w:t xml:space="preserve"> </w:t>
      </w:r>
      <w:r>
        <w:t xml:space="preserve">engaged under this agreement shall maintain full professional confidentiality regarding all client data, proprietary information, and business intelligence shared during the course of the engagement, in compliance with the UAE Federal Decree-Law No. 45 of 2021 on the Protection of Personal Data.</w:t>
      </w:r>
    </w:p>
    <w:p>
      <w:pPr>
        <w:numPr>
          <w:ilvl w:val="0"/>
          <w:numId w:val="1003"/>
        </w:numPr>
        <w:pStyle w:val="Compact"/>
      </w:pPr>
      <w:r>
        <w:t xml:space="preserve">All deliverables, including statistical reports, models, code, and visualizations, shall become the exclusive intellectual property of the client upon full and final payment.</w:t>
      </w:r>
    </w:p>
    <w:p>
      <w:pPr>
        <w:numPr>
          <w:ilvl w:val="0"/>
          <w:numId w:val="1003"/>
        </w:numPr>
        <w:pStyle w:val="Compact"/>
      </w:pPr>
      <w:r>
        <w:t xml:space="preserve">The Statistician reserves the right to decline or modify the scope of work if the project involves activities that contravene the laws, regulations, or public policy of the United Arab Emirates Abu Dhabi.</w:t>
      </w:r>
    </w:p>
    <w:p>
      <w:pPr>
        <w:numPr>
          <w:ilvl w:val="0"/>
          <w:numId w:val="1003"/>
        </w:numPr>
        <w:pStyle w:val="Compact"/>
      </w:pPr>
      <w:r>
        <w:t xml:space="preserve">Any changes to the scope of work beyond the parameters defined in this Quotation Estimate shall be subject to a formal change order and additional cost assessment.</w:t>
      </w:r>
    </w:p>
    <w:p>
      <w:pPr>
        <w:numPr>
          <w:ilvl w:val="0"/>
          <w:numId w:val="1003"/>
        </w:numPr>
        <w:pStyle w:val="Compact"/>
      </w:pPr>
      <w:r>
        <w:t xml:space="preserve">This Quotation Estimate does not constitute a contract until formally accepted in writing by both parties and countersigned by authorized representatives.</w:t>
      </w:r>
    </w:p>
    <w:p>
      <w:pPr>
        <w:numPr>
          <w:ilvl w:val="0"/>
          <w:numId w:val="1003"/>
        </w:numPr>
        <w:pStyle w:val="Compact"/>
      </w:pPr>
      <w:r>
        <w:t xml:space="preserve">Disputes arising from this engagement shall be resolved through arbitration in accordance with the rules of the Abu Dhabi Commercial Conciliation and Arbitration Centre (ADCCAC).</w:t>
      </w:r>
    </w:p>
    <w:p>
      <w:pPr>
        <w:pStyle w:val="FirstParagraph"/>
      </w:pPr>
      <w:r>
        <w:rPr>
          <w:bCs/>
          <w:b/>
        </w:rPr>
        <w:t xml:space="preserve">Important Note:</w:t>
      </w:r>
      <w:r>
        <w:t xml:space="preserve"> </w:t>
      </w:r>
      <w:r>
        <w:t xml:space="preserve">This Quotation Estimate is prepared specifically for the client identified herein and for the project scope described above. It is not transferable to any third party. All rates are inclusive of the Statistician's professional expertise, time, and standard tools. Any additional services, expedited timelines, or extended engagement periods beyond the stated scope will be quoted separately.</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confirms understanding of the scope of</w:t>
      </w:r>
      <w:r>
        <w:t xml:space="preserve"> </w:t>
      </w:r>
      <w:r>
        <w:t xml:space="preserve">Statistician</w:t>
      </w:r>
      <w:r>
        <w:t xml:space="preserve"> </w:t>
      </w:r>
      <w:r>
        <w:t xml:space="preserve">services to be delivered in the</w:t>
      </w:r>
      <w:r>
        <w:t xml:space="preserve"> </w:t>
      </w:r>
      <w:r>
        <w:t xml:space="preserve">United Arab Emirates Abu Dhabi</w:t>
      </w:r>
      <w:r>
        <w:t xml:space="preserve"> </w:t>
      </w:r>
      <w:r>
        <w:t xml:space="preserve">region, and agrees to the terms, conditions, and payment schedule outlined herein.</w:t>
      </w:r>
    </w:p>
    <w:p>
      <w:pPr>
        <w:pStyle w:val="BodyText"/>
      </w:pPr>
      <w:r>
        <w:rPr>
          <w:bCs/>
          <w:b/>
        </w:rPr>
        <w:t xml:space="preserve">For the Service Provider</w:t>
      </w:r>
      <w:r>
        <w:br/>
      </w:r>
      <w:r>
        <w:t xml:space="preserve">Dr. Khalid Al Mansoori</w:t>
      </w:r>
      <w:r>
        <w:br/>
      </w:r>
      <w:r>
        <w:t xml:space="preserve">Lead Statistician &amp; Principal Consultant</w:t>
      </w:r>
      <w:r>
        <w:br/>
      </w:r>
      <w:r>
        <w:t xml:space="preserve">Signature: _________________________</w:t>
      </w:r>
      <w:r>
        <w:br/>
      </w:r>
      <w:r>
        <w:t xml:space="preserve">Date: _________________________</w:t>
      </w:r>
    </w:p>
    <w:p>
      <w:pPr>
        <w:pStyle w:val="BodyText"/>
      </w:pPr>
      <w:r>
        <w:rPr>
          <w:bCs/>
          <w:b/>
        </w:rPr>
        <w:t xml:space="preserve">For the Client</w:t>
      </w:r>
      <w:r>
        <w:br/>
      </w:r>
      <w:r>
        <w:t xml:space="preserve">[Authorized Representative Name]</w:t>
      </w:r>
      <w:r>
        <w:br/>
      </w:r>
      <w:r>
        <w:t xml:space="preserve">[Designation / Title]</w:t>
      </w:r>
      <w:r>
        <w:br/>
      </w:r>
      <w:r>
        <w:t xml:space="preserve">Signature: _________________________</w:t>
      </w:r>
      <w:r>
        <w:br/>
      </w:r>
      <w:r>
        <w:t xml:space="preserve">Date: _________________________</w:t>
      </w:r>
    </w:p>
    <w:p>
      <w:pPr>
        <w:pStyle w:val="BodyText"/>
      </w:pPr>
      <w:r>
        <w:t xml:space="preserve">This Quotation Estimate document was prepared for professional statistical consulting services in the United Arab Emirates Abu Dhabi. All figures are in AED. Document Reference: QE-STAT-2025-0472. For inquiries, please contact the project office in Abu Dhabi, UAE.</w:t>
      </w:r>
    </w:p>
    <w:p>
      <w:pPr>
        <w:pStyle w:val="BodyText"/>
      </w:pPr>
      <w:r>
        <w:t xml:space="preserve">© 2025 – All Rights Reserved. This document is confidential and intended solely for the named recipient.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Statistician Services - United Arab Emirates Abu Dhabi</dc:title>
  <dc:creator/>
  <dc:language>en</dc:language>
  <cp:keywords/>
  <dcterms:created xsi:type="dcterms:W3CDTF">2026-10-10T03:44:42Z</dcterms:created>
  <dcterms:modified xsi:type="dcterms:W3CDTF">2026-10-10T03:44:42Z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