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Statistician Services</w:t>
      </w:r>
    </w:p>
    <w:p>
      <w:pPr>
        <w:pStyle w:val="BodyText"/>
      </w:pPr>
      <w:r>
        <w:t xml:space="preserve">United Arab Emirates — Dubai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QE-STAT-DXB-2025-0472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Ahmed Al Mansoori, Lead Statistician — DataBridge Analytics LLC</w:t>
            </w:r>
          </w:p>
        </w:tc>
      </w:tr>
      <w:tr>
        <w:tc>
          <w:tcPr/>
          <w:p>
            <w:pPr>
              <w:pStyle w:val="Compact"/>
              <w:jc w:val="left"/>
            </w:pPr>
            <w:r>
              <w:t xml:space="preserve">Client / Recipient:</w:t>
            </w:r>
          </w:p>
        </w:tc>
        <w:tc>
          <w:tcPr/>
          <w:p>
            <w:pPr>
              <w:pStyle w:val="Compact"/>
              <w:jc w:val="left"/>
            </w:pPr>
            <w:r>
              <w:t xml:space="preserve">[Client Name — Company / Organization]</w:t>
            </w:r>
          </w:p>
        </w:tc>
      </w:tr>
      <w:tr>
        <w:tc>
          <w:tcPr/>
          <w:p>
            <w:pPr>
              <w:pStyle w:val="Compact"/>
              <w:jc w:val="left"/>
            </w:pPr>
            <w:r>
              <w:t xml:space="preserve">Client Address:</w:t>
            </w:r>
          </w:p>
        </w:tc>
        <w:tc>
          <w:tcPr/>
          <w:p>
            <w:pPr>
              <w:pStyle w:val="Compact"/>
              <w:jc w:val="left"/>
            </w:pPr>
            <w:r>
              <w:t xml:space="preserve">[Street, Building, District], Dubai, United Arab Emirates</w:t>
            </w:r>
          </w:p>
        </w:tc>
      </w:tr>
      <w:tr>
        <w:tc>
          <w:tcPr/>
          <w:p>
            <w:pPr>
              <w:pStyle w:val="Compact"/>
              <w:jc w:val="left"/>
            </w:pPr>
            <w:r>
              <w:t xml:space="preserve">Project Location:</w:t>
            </w:r>
          </w:p>
        </w:tc>
        <w:tc>
          <w:tcPr/>
          <w:p>
            <w:pPr>
              <w:pStyle w:val="Compact"/>
              <w:jc w:val="left"/>
            </w:pPr>
            <w:r>
              <w:t xml:space="preserve">Dubai, United Arab Emirates</w:t>
            </w:r>
          </w:p>
        </w:tc>
      </w:tr>
      <w:tr>
        <w:tc>
          <w:tcPr/>
          <w:p>
            <w:pPr>
              <w:pStyle w:val="Compact"/>
              <w:jc w:val="left"/>
            </w:pPr>
            <w:r>
              <w:t xml:space="preserve">Currency:</w:t>
            </w:r>
          </w:p>
        </w:tc>
        <w:tc>
          <w:tcPr/>
          <w:p>
            <w:pPr>
              <w:pStyle w:val="Compact"/>
              <w:jc w:val="left"/>
            </w:pPr>
            <w:r>
              <w:t xml:space="preserve">United Arab Emirates Dirham (AED)</w:t>
            </w:r>
          </w:p>
        </w:tc>
      </w:tr>
    </w:tbl>
    <w:p>
      <w:pPr>
        <w:pStyle w:val="BodyText"/>
      </w:pPr>
      <w:r>
        <w:t xml:space="preserve">1. Purpose of This Quotation Estimate</w:t>
      </w:r>
    </w:p>
    <w:p>
      <w:pPr>
        <w:pStyle w:val="BodyText"/>
      </w:pPr>
      <w:r>
        <w:t xml:space="preserve">This Quotation Estimate is issued by DataBridge Analytics LLC, a registered professional services firm operating in Dubai, United Arab Emirates, to provide a comprehensive and transparent cost breakdown for the engagement of a qualified Statistician to deliver advanced data analysis, statistical modelling, and quantitative research support. This document serves as a formal Quotation Estimate outlining the scope of work, deliverables, timelines, and associated fees for the Statistician services to be rendered within the jurisdiction of United Arab Emirates Dubai. All pricing is quoted in AED and is subject to the terms and conditions specified herein.</w:t>
      </w:r>
    </w:p>
    <w:p>
      <w:pPr>
        <w:pStyle w:val="BodyText"/>
      </w:pPr>
      <w:r>
        <w:t xml:space="preserve">2. Scope of Statistician Services</w:t>
      </w:r>
    </w:p>
    <w:p>
      <w:pPr>
        <w:pStyle w:val="BodyText"/>
      </w:pPr>
      <w:r>
        <w:t xml:space="preserve">The Statistician engaged under this Quotation Estimate will provide the following professional services to the client in Dubai, United Arab Emirates:</w:t>
      </w:r>
    </w:p>
    <w:p>
      <w:pPr>
        <w:numPr>
          <w:ilvl w:val="0"/>
          <w:numId w:val="1001"/>
        </w:numPr>
        <w:pStyle w:val="Compact"/>
      </w:pPr>
      <w:r>
        <w:rPr>
          <w:bCs/>
          <w:b/>
        </w:rPr>
        <w:t xml:space="preserve">Exploratory Data Analysis (EDA):</w:t>
      </w:r>
      <w:r>
        <w:t xml:space="preserve"> </w:t>
      </w:r>
      <w:r>
        <w:t xml:space="preserve">Comprehensive cleaning, transformation, and visualization of raw datasets provided by the client, including handling of missing values, outlier detection, and distributional assessment.</w:t>
      </w:r>
    </w:p>
    <w:p>
      <w:pPr>
        <w:numPr>
          <w:ilvl w:val="0"/>
          <w:numId w:val="1001"/>
        </w:numPr>
        <w:pStyle w:val="Compact"/>
      </w:pPr>
      <w:r>
        <w:rPr>
          <w:bCs/>
          <w:b/>
        </w:rPr>
        <w:t xml:space="preserve">Statistical Modelling &amp; Inference:</w:t>
      </w:r>
      <w:r>
        <w:t xml:space="preserve"> </w:t>
      </w:r>
      <w:r>
        <w:t xml:space="preserve">Design and execution of parametric and non-parametric hypothesis tests, regression analyses (linear, logistic, generalized linear models), and multivariate techniques tailored to the client's research or business objectives.</w:t>
      </w:r>
    </w:p>
    <w:p>
      <w:pPr>
        <w:numPr>
          <w:ilvl w:val="0"/>
          <w:numId w:val="1001"/>
        </w:numPr>
        <w:pStyle w:val="Compact"/>
      </w:pPr>
      <w:r>
        <w:rPr>
          <w:bCs/>
          <w:b/>
        </w:rPr>
        <w:t xml:space="preserve">Predictive Analytics &amp; Machine Learning Support:</w:t>
      </w:r>
      <w:r>
        <w:t xml:space="preserve"> </w:t>
      </w:r>
      <w:r>
        <w:t xml:space="preserve">Development of forecasting models, classification algorithms, and time-series analyses with rigorous cross-validation and performance benchmarking.</w:t>
      </w:r>
    </w:p>
    <w:p>
      <w:pPr>
        <w:numPr>
          <w:ilvl w:val="0"/>
          <w:numId w:val="1001"/>
        </w:numPr>
        <w:pStyle w:val="Compact"/>
      </w:pPr>
      <w:r>
        <w:rPr>
          <w:bCs/>
          <w:b/>
        </w:rPr>
        <w:t xml:space="preserve">Survey Design &amp; Sampling Strategy:</w:t>
      </w:r>
      <w:r>
        <w:t xml:space="preserve"> </w:t>
      </w:r>
      <w:r>
        <w:t xml:space="preserve">Consultation on probability and non-probability sampling frameworks, sample size determination, and questionnaire validation for studies conducted in or about the United Arab Emirates Dubai market.</w:t>
      </w:r>
    </w:p>
    <w:p>
      <w:pPr>
        <w:numPr>
          <w:ilvl w:val="0"/>
          <w:numId w:val="1001"/>
        </w:numPr>
        <w:pStyle w:val="Compact"/>
      </w:pPr>
      <w:r>
        <w:rPr>
          <w:bCs/>
          <w:b/>
        </w:rPr>
        <w:t xml:space="preserve">Report Writing &amp; Presentation:</w:t>
      </w:r>
      <w:r>
        <w:t xml:space="preserve"> </w:t>
      </w:r>
      <w:r>
        <w:t xml:space="preserve">Preparation of a detailed statistical report (minimum 40 pages) with executive summary, methodology, findings, limitations, and actionable recommendations, delivered in both English and Arabic.</w:t>
      </w:r>
    </w:p>
    <w:p>
      <w:pPr>
        <w:numPr>
          <w:ilvl w:val="0"/>
          <w:numId w:val="1001"/>
        </w:numPr>
        <w:pStyle w:val="Compact"/>
      </w:pPr>
      <w:r>
        <w:rPr>
          <w:bCs/>
          <w:b/>
        </w:rPr>
        <w:t xml:space="preserve">On-Site Consultation:</w:t>
      </w:r>
      <w:r>
        <w:t xml:space="preserve"> </w:t>
      </w:r>
      <w:r>
        <w:t xml:space="preserve">Two (2) in-person consultation sessions at the client's office in Dubai, United Arab Emirates, for requirements gathering and final results walkthrough.</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Subtotal (AED)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Exploratory Data Analysis &amp; Data Cleaning</w:t>
            </w:r>
          </w:p>
        </w:tc>
        <w:tc>
          <w:tcPr/>
          <w:p>
            <w:pPr>
              <w:pStyle w:val="Compact"/>
              <w:jc w:val="left"/>
            </w:pPr>
            <w:r>
              <w:t xml:space="preserve">1 lot</w:t>
            </w:r>
          </w:p>
        </w:tc>
        <w:tc>
          <w:tcPr/>
          <w:p>
            <w:pPr>
              <w:pStyle w:val="Compact"/>
              <w:jc w:val="left"/>
            </w:pPr>
            <w:r>
              <w:t xml:space="preserve">12,500</w:t>
            </w:r>
          </w:p>
        </w:tc>
        <w:tc>
          <w:tcPr/>
          <w:p>
            <w:pPr>
              <w:pStyle w:val="Compact"/>
              <w:jc w:val="left"/>
            </w:pPr>
            <w:r>
              <w:t xml:space="preserve">12,500</w:t>
            </w:r>
          </w:p>
        </w:tc>
        <w:tc>
          <w:tcPr/>
          <w:p>
            <w:pPr>
              <w:pStyle w:val="Compact"/>
              <w:jc w:val="left"/>
            </w:pPr>
            <w:r>
              <w:t xml:space="preserve">Week 1</w:t>
            </w:r>
          </w:p>
        </w:tc>
      </w:tr>
      <w:tr>
        <w:tc>
          <w:tcPr/>
          <w:p>
            <w:pPr>
              <w:pStyle w:val="Compact"/>
              <w:jc w:val="left"/>
            </w:pPr>
            <w:r>
              <w:t xml:space="preserve">2</w:t>
            </w:r>
          </w:p>
        </w:tc>
        <w:tc>
          <w:tcPr/>
          <w:p>
            <w:pPr>
              <w:pStyle w:val="Compact"/>
              <w:jc w:val="left"/>
            </w:pPr>
            <w:r>
              <w:t xml:space="preserve">Statistical Modelling &amp; Hypothesis Testing</w:t>
            </w:r>
          </w:p>
        </w:tc>
        <w:tc>
          <w:tcPr/>
          <w:p>
            <w:pPr>
              <w:pStyle w:val="Compact"/>
              <w:jc w:val="left"/>
            </w:pPr>
            <w:r>
              <w:t xml:space="preserve">1 lot</w:t>
            </w:r>
          </w:p>
        </w:tc>
        <w:tc>
          <w:tcPr/>
          <w:p>
            <w:pPr>
              <w:pStyle w:val="Compact"/>
              <w:jc w:val="left"/>
            </w:pPr>
            <w:r>
              <w:t xml:space="preserve">22,000</w:t>
            </w:r>
          </w:p>
        </w:tc>
        <w:tc>
          <w:tcPr/>
          <w:p>
            <w:pPr>
              <w:pStyle w:val="Compact"/>
              <w:jc w:val="left"/>
            </w:pPr>
            <w:r>
              <w:t xml:space="preserve">22,000</w:t>
            </w:r>
          </w:p>
        </w:tc>
        <w:tc>
          <w:tcPr/>
          <w:p>
            <w:pPr>
              <w:pStyle w:val="Compact"/>
              <w:jc w:val="left"/>
            </w:pPr>
            <w:r>
              <w:t xml:space="preserve">Weeks 2–3</w:t>
            </w:r>
          </w:p>
        </w:tc>
      </w:tr>
      <w:tr>
        <w:tc>
          <w:tcPr/>
          <w:p>
            <w:pPr>
              <w:pStyle w:val="Compact"/>
              <w:jc w:val="left"/>
            </w:pPr>
            <w:r>
              <w:t xml:space="preserve">3</w:t>
            </w:r>
          </w:p>
        </w:tc>
        <w:tc>
          <w:tcPr/>
          <w:p>
            <w:pPr>
              <w:pStyle w:val="Compact"/>
              <w:jc w:val="left"/>
            </w:pPr>
            <w:r>
              <w:t xml:space="preserve">Predictive Analytics &amp; Forecasting Models</w:t>
            </w:r>
          </w:p>
        </w:tc>
        <w:tc>
          <w:tcPr/>
          <w:p>
            <w:pPr>
              <w:pStyle w:val="Compact"/>
              <w:jc w:val="left"/>
            </w:pPr>
            <w:r>
              <w:t xml:space="preserve">1 lot</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Weeks 3–4</w:t>
            </w:r>
          </w:p>
        </w:tc>
      </w:tr>
      <w:tr>
        <w:tc>
          <w:tcPr/>
          <w:p>
            <w:pPr>
              <w:pStyle w:val="Compact"/>
              <w:jc w:val="left"/>
            </w:pPr>
            <w:r>
              <w:t xml:space="preserve">4</w:t>
            </w:r>
          </w:p>
        </w:tc>
        <w:tc>
          <w:tcPr/>
          <w:p>
            <w:pPr>
              <w:pStyle w:val="Compact"/>
              <w:jc w:val="left"/>
            </w:pPr>
            <w:r>
              <w:t xml:space="preserve">Survey Design &amp; Sampling Consultation</w:t>
            </w:r>
          </w:p>
        </w:tc>
        <w:tc>
          <w:tcPr/>
          <w:p>
            <w:pPr>
              <w:pStyle w:val="Compact"/>
              <w:jc w:val="left"/>
            </w:pPr>
            <w:r>
              <w:t xml:space="preserve">1 lot</w:t>
            </w:r>
          </w:p>
        </w:tc>
        <w:tc>
          <w:tcPr/>
          <w:p>
            <w:pPr>
              <w:pStyle w:val="Compact"/>
              <w:jc w:val="left"/>
            </w:pPr>
            <w:r>
              <w:t xml:space="preserve">9,000</w:t>
            </w:r>
          </w:p>
        </w:tc>
        <w:tc>
          <w:tcPr/>
          <w:p>
            <w:pPr>
              <w:pStyle w:val="Compact"/>
              <w:jc w:val="left"/>
            </w:pPr>
            <w:r>
              <w:t xml:space="preserve">9,000</w:t>
            </w:r>
          </w:p>
        </w:tc>
        <w:tc>
          <w:tcPr/>
          <w:p>
            <w:pPr>
              <w:pStyle w:val="Compact"/>
              <w:jc w:val="left"/>
            </w:pPr>
            <w:r>
              <w:t xml:space="preserve">Week 4</w:t>
            </w:r>
          </w:p>
        </w:tc>
      </w:tr>
      <w:tr>
        <w:tc>
          <w:tcPr/>
          <w:p>
            <w:pPr>
              <w:pStyle w:val="Compact"/>
              <w:jc w:val="left"/>
            </w:pPr>
            <w:r>
              <w:t xml:space="preserve">5</w:t>
            </w:r>
          </w:p>
        </w:tc>
        <w:tc>
          <w:tcPr/>
          <w:p>
            <w:pPr>
              <w:pStyle w:val="Compact"/>
              <w:jc w:val="left"/>
            </w:pPr>
            <w:r>
              <w:t xml:space="preserve">Statistical Report (Bilingual: English &amp; Arabic)</w:t>
            </w:r>
          </w:p>
        </w:tc>
        <w:tc>
          <w:tcPr/>
          <w:p>
            <w:pPr>
              <w:pStyle w:val="Compact"/>
              <w:jc w:val="left"/>
            </w:pPr>
            <w:r>
              <w:t xml:space="preserve">1 copy</w:t>
            </w:r>
          </w:p>
        </w:tc>
        <w:tc>
          <w:tcPr/>
          <w:p>
            <w:pPr>
              <w:pStyle w:val="Compact"/>
              <w:jc w:val="left"/>
            </w:pPr>
            <w:r>
              <w:t xml:space="preserve">7,500</w:t>
            </w:r>
          </w:p>
        </w:tc>
        <w:tc>
          <w:tcPr/>
          <w:p>
            <w:pPr>
              <w:pStyle w:val="Compact"/>
              <w:jc w:val="left"/>
            </w:pPr>
            <w:r>
              <w:t xml:space="preserve">7,500</w:t>
            </w:r>
          </w:p>
        </w:tc>
        <w:tc>
          <w:tcPr/>
          <w:p>
            <w:pPr>
              <w:pStyle w:val="Compact"/>
              <w:jc w:val="left"/>
            </w:pPr>
            <w:r>
              <w:t xml:space="preserve">Week 5</w:t>
            </w:r>
          </w:p>
        </w:tc>
      </w:tr>
      <w:tr>
        <w:tc>
          <w:tcPr/>
          <w:p>
            <w:pPr>
              <w:pStyle w:val="Compact"/>
              <w:jc w:val="left"/>
            </w:pPr>
            <w:r>
              <w:t xml:space="preserve">6</w:t>
            </w:r>
          </w:p>
        </w:tc>
        <w:tc>
          <w:tcPr/>
          <w:p>
            <w:pPr>
              <w:pStyle w:val="Compact"/>
              <w:jc w:val="left"/>
            </w:pPr>
            <w:r>
              <w:t xml:space="preserve">On-Site Consultation Sessions in Dubai, UAE</w:t>
            </w:r>
          </w:p>
        </w:tc>
        <w:tc>
          <w:tcPr/>
          <w:p>
            <w:pPr>
              <w:pStyle w:val="Compact"/>
              <w:jc w:val="left"/>
            </w:pPr>
            <w:r>
              <w:t xml:space="preserve">2 sessions</w:t>
            </w:r>
          </w:p>
        </w:tc>
        <w:tc>
          <w:tcPr/>
          <w:p>
            <w:pPr>
              <w:pStyle w:val="Compact"/>
              <w:jc w:val="left"/>
            </w:pPr>
            <w:r>
              <w:t xml:space="preserve">3,500</w:t>
            </w:r>
          </w:p>
        </w:tc>
        <w:tc>
          <w:tcPr/>
          <w:p>
            <w:pPr>
              <w:pStyle w:val="Compact"/>
              <w:jc w:val="left"/>
            </w:pPr>
            <w:r>
              <w:t xml:space="preserve">7,000</w:t>
            </w:r>
          </w:p>
        </w:tc>
        <w:tc>
          <w:tcPr/>
          <w:p>
            <w:pPr>
              <w:pStyle w:val="Compact"/>
              <w:jc w:val="left"/>
            </w:pPr>
            <w:r>
              <w:t xml:space="preserve">Weeks 1 &amp; 5</w:t>
            </w:r>
          </w:p>
        </w:tc>
      </w:tr>
      <w:tr>
        <w:tc>
          <w:tcPr/>
          <w:p>
            <w:pPr>
              <w:pStyle w:val="Compact"/>
              <w:jc w:val="left"/>
            </w:pPr>
            <w:r>
              <w:t xml:space="preserve">7</w:t>
            </w:r>
          </w:p>
        </w:tc>
        <w:tc>
          <w:tcPr/>
          <w:p>
            <w:pPr>
              <w:pStyle w:val="Compact"/>
              <w:jc w:val="left"/>
            </w:pPr>
            <w:r>
              <w:t xml:space="preserve">Software Licensing (R, SPSS, Python Stack) — Project Duration</w:t>
            </w:r>
          </w:p>
        </w:tc>
        <w:tc>
          <w:tcPr/>
          <w:p>
            <w:pPr>
              <w:pStyle w:val="Compact"/>
              <w:jc w:val="left"/>
            </w:pPr>
            <w:r>
              <w:t xml:space="preserve">1 lot</w:t>
            </w:r>
          </w:p>
        </w:tc>
        <w:tc>
          <w:tcPr/>
          <w:p>
            <w:pPr>
              <w:pStyle w:val="Compact"/>
              <w:jc w:val="left"/>
            </w:pPr>
            <w:r>
              <w:t xml:space="preserve">4,200</w:t>
            </w:r>
          </w:p>
        </w:tc>
        <w:tc>
          <w:tcPr/>
          <w:p>
            <w:pPr>
              <w:pStyle w:val="Compact"/>
              <w:jc w:val="left"/>
            </w:pPr>
            <w:r>
              <w:t xml:space="preserve">4,200</w:t>
            </w:r>
          </w:p>
        </w:tc>
        <w:tc>
          <w:tcPr/>
          <w:p>
            <w:pPr>
              <w:pStyle w:val="Compact"/>
              <w:jc w:val="left"/>
            </w:pPr>
            <w:r>
              <w:t xml:space="preserve">Full project</w:t>
            </w:r>
          </w:p>
        </w:tc>
      </w:tr>
      <w:tr>
        <w:tc>
          <w:tcPr/>
          <w:p>
            <w:pPr>
              <w:pStyle w:val="Compact"/>
              <w:jc w:val="left"/>
            </w:pPr>
            <w:r>
              <w:t xml:space="preserve">8</w:t>
            </w:r>
          </w:p>
        </w:tc>
        <w:tc>
          <w:tcPr/>
          <w:p>
            <w:pPr>
              <w:pStyle w:val="Compact"/>
              <w:jc w:val="left"/>
            </w:pPr>
            <w:r>
              <w:t xml:space="preserve">Travel &amp; Local Transportation within Dubai, UAE</w:t>
            </w:r>
          </w:p>
        </w:tc>
        <w:tc>
          <w:tcPr/>
          <w:p>
            <w:pPr>
              <w:pStyle w:val="Compact"/>
              <w:jc w:val="left"/>
            </w:pPr>
            <w:r>
              <w:t xml:space="preserve">1 lot</w:t>
            </w:r>
          </w:p>
        </w:tc>
        <w:tc>
          <w:tcPr/>
          <w:p>
            <w:pPr>
              <w:pStyle w:val="Compact"/>
              <w:jc w:val="left"/>
            </w:pPr>
            <w:r>
              <w:t xml:space="preserve">2,800</w:t>
            </w:r>
          </w:p>
        </w:tc>
        <w:tc>
          <w:tcPr/>
          <w:p>
            <w:pPr>
              <w:pStyle w:val="Compact"/>
              <w:jc w:val="left"/>
            </w:pPr>
            <w:r>
              <w:t xml:space="preserve">2,800</w:t>
            </w:r>
          </w:p>
        </w:tc>
        <w:tc>
          <w:tcPr/>
          <w:p>
            <w:pPr>
              <w:pStyle w:val="Compact"/>
              <w:jc w:val="left"/>
            </w:pPr>
            <w:r>
              <w:t xml:space="preserve">Full project</w:t>
            </w:r>
          </w:p>
        </w:tc>
      </w:tr>
      <w:tr>
        <w:tc>
          <w:tcPr>
            <w:gridSpan w:val="4"/>
          </w:tcPr>
          <w:p>
            <w:pPr>
              <w:pStyle w:val="Compact"/>
              <w:jc w:val="left"/>
            </w:pPr>
            <w:r>
              <w:t xml:space="preserve">Subtotal</w:t>
            </w:r>
          </w:p>
        </w:tc>
        <w:tc>
          <w:tcPr/>
          <w:p>
            <w:pPr>
              <w:pStyle w:val="Compact"/>
              <w:jc w:val="left"/>
            </w:pPr>
            <w:r>
              <w:t xml:space="preserve">83,500</w:t>
            </w:r>
          </w:p>
        </w:tc>
        <w:tc>
          <w:tcPr/>
          <w:p>
            <w:pPr>
              <w:pStyle w:val="Compact"/>
            </w:pPr>
          </w:p>
        </w:tc>
      </w:tr>
      <w:tr>
        <w:tc>
          <w:tcPr>
            <w:gridSpan w:val="4"/>
          </w:tcPr>
          <w:p>
            <w:pPr>
              <w:pStyle w:val="Compact"/>
              <w:jc w:val="left"/>
            </w:pPr>
            <w:r>
              <w:t xml:space="preserve">VAT (5% — United Arab Emirates)</w:t>
            </w:r>
          </w:p>
        </w:tc>
        <w:tc>
          <w:tcPr/>
          <w:p>
            <w:pPr>
              <w:pStyle w:val="Compact"/>
              <w:jc w:val="left"/>
            </w:pPr>
            <w:r>
              <w:t xml:space="preserve">4,175</w:t>
            </w:r>
          </w:p>
        </w:tc>
        <w:tc>
          <w:tcPr/>
          <w:p>
            <w:pPr>
              <w:pStyle w:val="Compact"/>
            </w:pPr>
          </w:p>
        </w:tc>
      </w:tr>
      <w:tr>
        <w:tc>
          <w:tcPr>
            <w:gridSpan w:val="4"/>
          </w:tcPr>
          <w:p>
            <w:pPr>
              <w:pStyle w:val="Compact"/>
              <w:jc w:val="left"/>
            </w:pPr>
            <w:r>
              <w:rPr>
                <w:bCs/>
                <w:b/>
              </w:rPr>
              <w:t xml:space="preserve">Grand Total (AED)</w:t>
            </w:r>
          </w:p>
        </w:tc>
        <w:tc>
          <w:tcPr/>
          <w:p>
            <w:pPr>
              <w:pStyle w:val="Compact"/>
              <w:jc w:val="left"/>
            </w:pPr>
            <w:r>
              <w:rPr>
                <w:bCs/>
                <w:b/>
              </w:rPr>
              <w:t xml:space="preserve">87,675</w:t>
            </w:r>
          </w:p>
        </w:tc>
        <w:tc>
          <w:tcPr/>
          <w:p>
            <w:pPr>
              <w:pStyle w:val="Compact"/>
            </w:pPr>
          </w:p>
        </w:tc>
      </w:tr>
    </w:tbl>
    <w:p>
      <w:pPr>
        <w:pStyle w:val="BodyText"/>
      </w:pPr>
      <w:r>
        <w:t xml:space="preserve">4. Payment Terms</w:t>
      </w:r>
    </w:p>
    <w:p>
      <w:pPr>
        <w:numPr>
          <w:ilvl w:val="0"/>
          <w:numId w:val="1002"/>
        </w:numPr>
        <w:pStyle w:val="Compact"/>
      </w:pPr>
      <w:r>
        <w:rPr>
          <w:bCs/>
          <w:b/>
        </w:rPr>
        <w:t xml:space="preserve">Advance Payment:</w:t>
      </w:r>
      <w:r>
        <w:t xml:space="preserve"> </w:t>
      </w:r>
      <w:r>
        <w:t xml:space="preserve">40% of the Grand Total (AED 35,070) due upon acceptance of this Quotation Estimate and execution of the service agreement.</w:t>
      </w:r>
    </w:p>
    <w:p>
      <w:pPr>
        <w:numPr>
          <w:ilvl w:val="0"/>
          <w:numId w:val="1002"/>
        </w:numPr>
        <w:pStyle w:val="Compact"/>
      </w:pPr>
      <w:r>
        <w:rPr>
          <w:bCs/>
          <w:b/>
        </w:rPr>
        <w:t xml:space="preserve">Milestone Payment:</w:t>
      </w:r>
      <w:r>
        <w:t xml:space="preserve"> </w:t>
      </w:r>
      <w:r>
        <w:t xml:space="preserve">35% of the Grand Total (AED 30,686) due upon delivery of the Statistical Modelling &amp; Predictive Analytics deliverables (end of Week 4).</w:t>
      </w:r>
    </w:p>
    <w:p>
      <w:pPr>
        <w:numPr>
          <w:ilvl w:val="0"/>
          <w:numId w:val="1002"/>
        </w:numPr>
        <w:pStyle w:val="Compact"/>
      </w:pPr>
      <w:r>
        <w:rPr>
          <w:bCs/>
          <w:b/>
        </w:rPr>
        <w:t xml:space="preserve">Final Payment:</w:t>
      </w:r>
      <w:r>
        <w:t xml:space="preserve"> </w:t>
      </w:r>
      <w:r>
        <w:t xml:space="preserve">25% of the Grand Total (AED 21,919) due upon final acceptance of the complete statistical report and completion of the second on-site consultation in Dubai, United Arab Emirates.</w:t>
      </w:r>
    </w:p>
    <w:p>
      <w:pPr>
        <w:numPr>
          <w:ilvl w:val="0"/>
          <w:numId w:val="1002"/>
        </w:numPr>
        <w:pStyle w:val="Compact"/>
      </w:pPr>
      <w:r>
        <w:t xml:space="preserve">All payments shall be made via bank transfer to the account of DataBridge Analytics LLC, Dubai, United Arab Emirates. Invoices will be issued in AED.</w:t>
      </w:r>
    </w:p>
    <w:p>
      <w:pPr>
        <w:pStyle w:val="FirstParagraph"/>
      </w:pPr>
      <w:r>
        <w:t xml:space="preserve">5. Terms &amp; Conditions</w:t>
      </w:r>
    </w:p>
    <w:p>
      <w:pPr>
        <w:numPr>
          <w:ilvl w:val="0"/>
          <w:numId w:val="1003"/>
        </w:numPr>
        <w:pStyle w:val="Compact"/>
      </w:pPr>
      <w:r>
        <w:t xml:space="preserve">This Quotation Estimate is valid for thirty (30) calendar days from the date of issue. Beyond this period, pricing may be revised to reflect market conditions in United Arab Emirates Dubai.</w:t>
      </w:r>
    </w:p>
    <w:p>
      <w:pPr>
        <w:numPr>
          <w:ilvl w:val="0"/>
          <w:numId w:val="1003"/>
        </w:numPr>
        <w:pStyle w:val="Compact"/>
      </w:pPr>
      <w:r>
        <w:t xml:space="preserve">The Statistician services described herein are subject to the availability of the assigned professional. A confirmed start date will be communicated within five (5) business days of acceptance.</w:t>
      </w:r>
    </w:p>
    <w:p>
      <w:pPr>
        <w:numPr>
          <w:ilvl w:val="0"/>
          <w:numId w:val="1003"/>
        </w:numPr>
        <w:pStyle w:val="Compact"/>
      </w:pPr>
      <w:r>
        <w:t xml:space="preserve">All data provided by the client will be treated under strict confidentiality in accordance with the UAE Federal Decree-Law No. 45 of 2021 on the Protection of Personal Data. A separate Non-Disclosure Agreement (NDA) may be executed prior to data transfer.</w:t>
      </w:r>
    </w:p>
    <w:p>
      <w:pPr>
        <w:numPr>
          <w:ilvl w:val="0"/>
          <w:numId w:val="1003"/>
        </w:numPr>
        <w:pStyle w:val="Compact"/>
      </w:pPr>
      <w:r>
        <w:t xml:space="preserve">Any scope changes, additional modelling requests, or extended timelines beyond the agreed five-week schedule will be subject to a revised Quotation Estimate and mutual written approval.</w:t>
      </w:r>
    </w:p>
    <w:p>
      <w:pPr>
        <w:numPr>
          <w:ilvl w:val="0"/>
          <w:numId w:val="1003"/>
        </w:numPr>
        <w:pStyle w:val="Compact"/>
      </w:pPr>
      <w:r>
        <w:t xml:space="preserve">This Quotation Estimate does not constitute a binding contract until both parties have signed and returned the acceptance section below.</w:t>
      </w:r>
    </w:p>
    <w:p>
      <w:pPr>
        <w:numPr>
          <w:ilvl w:val="0"/>
          <w:numId w:val="1003"/>
        </w:numPr>
        <w:pStyle w:val="Compact"/>
      </w:pPr>
      <w:r>
        <w:t xml:space="preserve">Governing law: The laws of the United Arab Emirates, with jurisdiction vested in the courts of Dubai, United Arab Emirates.</w:t>
      </w:r>
    </w:p>
    <w:p>
      <w:pPr>
        <w:pStyle w:val="FirstParagraph"/>
      </w:pPr>
      <w:r>
        <w:rPr>
          <w:bCs/>
          <w:b/>
        </w:rPr>
        <w:t xml:space="preserve">Note:</w:t>
      </w:r>
      <w:r>
        <w:t xml:space="preserve"> </w:t>
      </w:r>
      <w:r>
        <w:t xml:space="preserve">This Quotation Estimate is prepared exclusively for the named client and may not be transferred or used for any other purpose without prior written consent from DataBridge Analytics LLC. All figures are exclusive of any third-party data acquisition costs unless explicitly stated.</w:t>
      </w:r>
    </w:p>
    <w:p>
      <w:pPr>
        <w:pStyle w:val="BodyText"/>
      </w:pPr>
      <w:r>
        <w:t xml:space="preserve">6. Acceptance &amp; Authorization</w:t>
      </w:r>
    </w:p>
    <w:p>
      <w:pPr>
        <w:pStyle w:val="BodyText"/>
      </w:pPr>
      <w:r>
        <w:t xml:space="preserve">By signing below, the client acknowledges and accepts the terms, scope, and pricing outlined in this Quotation Estimate for Statistician services to be delivered in United Arab Emirates Dubai.</w:t>
      </w:r>
    </w:p>
    <w:p>
      <w:pPr>
        <w:pStyle w:val="BodyText"/>
      </w:pPr>
      <w:r>
        <w:rPr>
          <w:bCs/>
          <w:b/>
        </w:rPr>
        <w:t xml:space="preserve">For DataBridge Analytics LLC</w:t>
      </w:r>
    </w:p>
    <w:p>
      <w:pPr>
        <w:pStyle w:val="BodyText"/>
      </w:pPr>
      <w:r>
        <w:t xml:space="preserve">Dr. Ahmed Al Mansoori</w:t>
      </w:r>
      <w:r>
        <w:br/>
      </w:r>
      <w:r>
        <w:t xml:space="preserve">Lead Statistician</w:t>
      </w:r>
    </w:p>
    <w:p>
      <w:pPr>
        <w:pStyle w:val="BodyText"/>
      </w:pPr>
      <w:r>
        <w:t xml:space="preserve">Signature &amp; Date</w:t>
      </w:r>
    </w:p>
    <w:p>
      <w:pPr>
        <w:pStyle w:val="BodyText"/>
      </w:pPr>
      <w:r>
        <w:rPr>
          <w:bCs/>
          <w:b/>
        </w:rPr>
        <w:t xml:space="preserve">For the Client</w:t>
      </w:r>
    </w:p>
    <w:p>
      <w:pPr>
        <w:pStyle w:val="BodyText"/>
      </w:pPr>
      <w:r>
        <w:t xml:space="preserve">[Authorized Signatory Name]</w:t>
      </w:r>
      <w:r>
        <w:br/>
      </w:r>
      <w:r>
        <w:t xml:space="preserve">[Title / Position]</w:t>
      </w:r>
    </w:p>
    <w:p>
      <w:pPr>
        <w:pStyle w:val="BodyText"/>
      </w:pPr>
      <w:r>
        <w:t xml:space="preserve">Signature &amp; Date</w:t>
      </w:r>
    </w:p>
    <w:p>
      <w:pPr>
        <w:pStyle w:val="BodyText"/>
      </w:pPr>
      <w:r>
        <w:t xml:space="preserve">© 2025 DataBridge Analytics LLC — Dubai, United Arab Emirates — Quotation Estimate QE-STAT-DXB-2025-0472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United Arab Emirates Dubai</dc:title>
  <dc:creator/>
  <dc:language>en</dc:language>
  <cp:keywords/>
  <dcterms:created xsi:type="dcterms:W3CDTF">2026-10-10T06:52:22Z</dcterms:created>
  <dcterms:modified xsi:type="dcterms:W3CDTF">2026-10-10T06:52:22Z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