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apex-analytical-consulting-group"/>
    <w:p>
      <w:pPr>
        <w:pStyle w:val="Heading1"/>
      </w:pPr>
      <w:r>
        <w:t xml:space="preserve">Apex Analytical Consulting Group</w:t>
      </w:r>
    </w:p>
    <w:p>
      <w:pPr>
        <w:pStyle w:val="FirstParagraph"/>
      </w:pPr>
      <w:r>
        <w:t xml:space="preserve">1200 Brickell Avenue, Suite 2400, Miami, Florida 33131, United States</w:t>
      </w:r>
    </w:p>
    <w:p>
      <w:pPr>
        <w:pStyle w:val="BodyText"/>
      </w:pPr>
      <w:r>
        <w:t xml:space="preserve">Phone: (305) 555-0187  |  Email: estimates@apexanalytical.com  |  Tax ID: 82-4471903</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Coral Bay Health Systems, Inc.</w:t>
      </w:r>
    </w:p>
    <w:p>
      <w:pPr>
        <w:pStyle w:val="BodyText"/>
      </w:pPr>
      <w:r>
        <w:rPr>
          <w:bCs/>
          <w:b/>
        </w:rPr>
        <w:t xml:space="preserve">Client Address:</w:t>
      </w:r>
      <w:r>
        <w:t xml:space="preserve"> </w:t>
      </w:r>
      <w:r>
        <w:t xml:space="preserve">8800 Biscayne Boulevard, Miami, Florida 33138, United States</w:t>
      </w:r>
    </w:p>
    <w:p>
      <w:pPr>
        <w:pStyle w:val="BodyText"/>
      </w:pPr>
      <w:r>
        <w:rPr>
          <w:bCs/>
          <w:b/>
        </w:rPr>
        <w:t xml:space="preserve">Project Reference:</w:t>
      </w:r>
      <w:r>
        <w:t xml:space="preserve"> </w:t>
      </w:r>
      <w:r>
        <w:t xml:space="preserve">CBHS-STAT-2025-Q3</w:t>
      </w:r>
    </w:p>
    <w:p>
      <w:pPr>
        <w:pStyle w:val="BodyText"/>
      </w:pPr>
      <w:r>
        <w:t xml:space="preserve">Quotation Estimate for Statistician Professional Services</w:t>
      </w:r>
    </w:p>
    <w:p>
      <w:pPr>
        <w:pStyle w:val="BodyText"/>
      </w:pPr>
      <w:r>
        <w:t xml:space="preserve">This</w:t>
      </w:r>
      <w:r>
        <w:t xml:space="preserve"> </w:t>
      </w:r>
      <w:r>
        <w:rPr>
          <w:bCs/>
          <w:b/>
        </w:rPr>
        <w:t xml:space="preserve">Quotation Estimate</w:t>
      </w:r>
      <w:r>
        <w:t xml:space="preserve"> </w:t>
      </w:r>
      <w:r>
        <w:t xml:space="preserve">is issued by Apex Analytical Consulting Group in response to the formal request submitted by Coral Bay Health Systems, Inc. for the engagement of a senior</w:t>
      </w:r>
      <w:r>
        <w:t xml:space="preserve"> </w:t>
      </w:r>
      <w:r>
        <w:rPr>
          <w:bCs/>
          <w:b/>
        </w:rPr>
        <w:t xml:space="preserve">Statistician</w:t>
      </w:r>
      <w:r>
        <w:t xml:space="preserve"> </w:t>
      </w:r>
      <w:r>
        <w:t xml:space="preserve">to support data-driven decision-making initiatives within the United States Miami metropolitan area. This document outlines the scope of work, professional fees, deliverables, and applicable terms governing the proposed engagement. All pricing is presented in United States Dollars (USD) and reflects current market rates for qualified statistical professionals operating in the United States Miami region.</w:t>
      </w:r>
    </w:p>
    <w:bookmarkStart w:id="21" w:name="scope-of-services"/>
    <w:p>
      <w:pPr>
        <w:pStyle w:val="Heading2"/>
      </w:pPr>
      <w:r>
        <w:t xml:space="preserve">1. Scope of Services</w:t>
      </w:r>
    </w:p>
    <w:p>
      <w:pPr>
        <w:pStyle w:val="FirstParagraph"/>
      </w:pPr>
      <w:r>
        <w:t xml:space="preserve">The</w:t>
      </w:r>
      <w:r>
        <w:t xml:space="preserve"> </w:t>
      </w:r>
      <w:r>
        <w:rPr>
          <w:bCs/>
          <w:b/>
        </w:rPr>
        <w:t xml:space="preserve">Statistician</w:t>
      </w:r>
      <w:r>
        <w:t xml:space="preserve"> </w:t>
      </w:r>
      <w:r>
        <w:t xml:space="preserve">engaged under this</w:t>
      </w:r>
      <w:r>
        <w:t xml:space="preserve"> </w:t>
      </w:r>
      <w:r>
        <w:rPr>
          <w:bCs/>
          <w:b/>
        </w:rPr>
        <w:t xml:space="preserve">Quotation Estimate</w:t>
      </w:r>
      <w:r>
        <w:t xml:space="preserve"> </w:t>
      </w:r>
      <w:r>
        <w:t xml:space="preserve">will provide comprehensive statistical consulting services tailored to the operational and research needs of the client. The scope encompasses the following key areas:</w:t>
      </w:r>
    </w:p>
    <w:p>
      <w:pPr>
        <w:numPr>
          <w:ilvl w:val="0"/>
          <w:numId w:val="1001"/>
        </w:numPr>
        <w:pStyle w:val="Compact"/>
      </w:pPr>
      <w:r>
        <w:t xml:space="preserve">Design and implementation of statistical sampling frameworks for clinical trial data collection in the United States Miami healthcare sector.</w:t>
      </w:r>
    </w:p>
    <w:p>
      <w:pPr>
        <w:numPr>
          <w:ilvl w:val="0"/>
          <w:numId w:val="1001"/>
        </w:numPr>
        <w:pStyle w:val="Compact"/>
      </w:pPr>
      <w:r>
        <w:t xml:space="preserve">Development of predictive analytical models using multivariate regression, Bayesian inference, and machine learning algorithms.</w:t>
      </w:r>
    </w:p>
    <w:p>
      <w:pPr>
        <w:numPr>
          <w:ilvl w:val="0"/>
          <w:numId w:val="1001"/>
        </w:numPr>
        <w:pStyle w:val="Compact"/>
      </w:pPr>
      <w:r>
        <w:t xml:space="preserve">Conduct of power analysis and sample size determination for ongoing and prospective research studies.</w:t>
      </w:r>
    </w:p>
    <w:p>
      <w:pPr>
        <w:numPr>
          <w:ilvl w:val="0"/>
          <w:numId w:val="1001"/>
        </w:numPr>
        <w:pStyle w:val="Compact"/>
      </w:pPr>
      <w:r>
        <w:t xml:space="preserve">Preparation of statistical reports, visualizations, and executive summaries for board-level presentation.</w:t>
      </w:r>
    </w:p>
    <w:p>
      <w:pPr>
        <w:numPr>
          <w:ilvl w:val="0"/>
          <w:numId w:val="1001"/>
        </w:numPr>
        <w:pStyle w:val="Compact"/>
      </w:pPr>
      <w:r>
        <w:t xml:space="preserve">Advisory support on regulatory compliance with FDA statistical guidelines and HIPAA data handling standards applicable in the United States Miami jurisdiction.</w:t>
      </w:r>
    </w:p>
    <w:p>
      <w:pPr>
        <w:numPr>
          <w:ilvl w:val="0"/>
          <w:numId w:val="1001"/>
        </w:numPr>
        <w:pStyle w:val="Compact"/>
      </w:pPr>
      <w:r>
        <w:t xml:space="preserve">Mentorship and training sessions for in-house data analysts on advanced statistical methodologies.</w:t>
      </w:r>
    </w:p>
    <w:bookmarkEnd w:id="21"/>
    <w:bookmarkStart w:id="22" w:name="detailed-fee-schedule"/>
    <w:p>
      <w:pPr>
        <w:pStyle w:val="Heading2"/>
      </w:pPr>
      <w:r>
        <w:t xml:space="preserve">2. Detailed Fee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Senior Statistician – Initial Consultation &amp; Project Scoping (United States Miami on-site)</w:t>
            </w:r>
          </w:p>
        </w:tc>
        <w:tc>
          <w:tcPr/>
          <w:p>
            <w:pPr>
              <w:pStyle w:val="Compact"/>
              <w:jc w:val="left"/>
            </w:pPr>
            <w:r>
              <w:t xml:space="preserve">8 hours</w:t>
            </w:r>
          </w:p>
        </w:tc>
        <w:tc>
          <w:tcPr/>
          <w:p>
            <w:pPr>
              <w:pStyle w:val="Compact"/>
              <w:jc w:val="left"/>
            </w:pPr>
            <w:r>
              <w:t xml:space="preserve">$275.00/hr</w:t>
            </w:r>
          </w:p>
        </w:tc>
        <w:tc>
          <w:tcPr/>
          <w:p>
            <w:pPr>
              <w:pStyle w:val="Compact"/>
              <w:jc w:val="left"/>
            </w:pPr>
            <w:r>
              <w:t xml:space="preserve">$2,200.00</w:t>
            </w:r>
          </w:p>
        </w:tc>
      </w:tr>
      <w:tr>
        <w:tc>
          <w:tcPr/>
          <w:p>
            <w:pPr>
              <w:pStyle w:val="Compact"/>
              <w:jc w:val="left"/>
            </w:pPr>
            <w:r>
              <w:t xml:space="preserve">02</w:t>
            </w:r>
          </w:p>
        </w:tc>
        <w:tc>
          <w:tcPr/>
          <w:p>
            <w:pPr>
              <w:pStyle w:val="Compact"/>
              <w:jc w:val="left"/>
            </w:pPr>
            <w:r>
              <w:t xml:space="preserve">Statistician – Statistical Model Development &amp; Validation</w:t>
            </w:r>
          </w:p>
        </w:tc>
        <w:tc>
          <w:tcPr/>
          <w:p>
            <w:pPr>
              <w:pStyle w:val="Compact"/>
              <w:jc w:val="left"/>
            </w:pPr>
            <w:r>
              <w:t xml:space="preserve">60 hours</w:t>
            </w:r>
          </w:p>
        </w:tc>
        <w:tc>
          <w:tcPr/>
          <w:p>
            <w:pPr>
              <w:pStyle w:val="Compact"/>
              <w:jc w:val="left"/>
            </w:pPr>
            <w:r>
              <w:t xml:space="preserve">$275.00/hr</w:t>
            </w:r>
          </w:p>
        </w:tc>
        <w:tc>
          <w:tcPr/>
          <w:p>
            <w:pPr>
              <w:pStyle w:val="Compact"/>
              <w:jc w:val="left"/>
            </w:pPr>
            <w:r>
              <w:t xml:space="preserve">$16,500.00</w:t>
            </w:r>
          </w:p>
        </w:tc>
      </w:tr>
      <w:tr>
        <w:tc>
          <w:tcPr/>
          <w:p>
            <w:pPr>
              <w:pStyle w:val="Compact"/>
              <w:jc w:val="left"/>
            </w:pPr>
            <w:r>
              <w:t xml:space="preserve">03</w:t>
            </w:r>
          </w:p>
        </w:tc>
        <w:tc>
          <w:tcPr/>
          <w:p>
            <w:pPr>
              <w:pStyle w:val="Compact"/>
              <w:jc w:val="left"/>
            </w:pPr>
            <w:r>
              <w:t xml:space="preserve">Statistician – Power Analysis &amp; Sample Size Determination</w:t>
            </w:r>
          </w:p>
        </w:tc>
        <w:tc>
          <w:tcPr/>
          <w:p>
            <w:pPr>
              <w:pStyle w:val="Compact"/>
              <w:jc w:val="left"/>
            </w:pPr>
            <w:r>
              <w:t xml:space="preserve">24 hours</w:t>
            </w:r>
          </w:p>
        </w:tc>
        <w:tc>
          <w:tcPr/>
          <w:p>
            <w:pPr>
              <w:pStyle w:val="Compact"/>
              <w:jc w:val="left"/>
            </w:pPr>
            <w:r>
              <w:t xml:space="preserve">$275.00/hr</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Statistician – Regulatory Compliance Review (FDA / HIPAA, United States Miami)</w:t>
            </w:r>
          </w:p>
        </w:tc>
        <w:tc>
          <w:tcPr/>
          <w:p>
            <w:pPr>
              <w:pStyle w:val="Compact"/>
              <w:jc w:val="left"/>
            </w:pPr>
            <w:r>
              <w:t xml:space="preserve">16 hours</w:t>
            </w:r>
          </w:p>
        </w:tc>
        <w:tc>
          <w:tcPr/>
          <w:p>
            <w:pPr>
              <w:pStyle w:val="Compact"/>
              <w:jc w:val="left"/>
            </w:pPr>
            <w:r>
              <w:t xml:space="preserve">$310.00/hr</w:t>
            </w:r>
          </w:p>
        </w:tc>
        <w:tc>
          <w:tcPr/>
          <w:p>
            <w:pPr>
              <w:pStyle w:val="Compact"/>
              <w:jc w:val="left"/>
            </w:pPr>
            <w:r>
              <w:t xml:space="preserve">$4,960.00</w:t>
            </w:r>
          </w:p>
        </w:tc>
      </w:tr>
      <w:tr>
        <w:tc>
          <w:tcPr/>
          <w:p>
            <w:pPr>
              <w:pStyle w:val="Compact"/>
              <w:jc w:val="left"/>
            </w:pPr>
            <w:r>
              <w:t xml:space="preserve">05</w:t>
            </w:r>
          </w:p>
        </w:tc>
        <w:tc>
          <w:tcPr/>
          <w:p>
            <w:pPr>
              <w:pStyle w:val="Compact"/>
              <w:jc w:val="left"/>
            </w:pPr>
            <w:r>
              <w:t xml:space="preserve">Statistician – Executive Reporting &amp; Data Visualization Package</w:t>
            </w:r>
          </w:p>
        </w:tc>
        <w:tc>
          <w:tcPr/>
          <w:p>
            <w:pPr>
              <w:pStyle w:val="Compact"/>
              <w:jc w:val="left"/>
            </w:pPr>
            <w:r>
              <w:t xml:space="preserve">20 hours</w:t>
            </w:r>
          </w:p>
        </w:tc>
        <w:tc>
          <w:tcPr/>
          <w:p>
            <w:pPr>
              <w:pStyle w:val="Compact"/>
              <w:jc w:val="left"/>
            </w:pPr>
            <w:r>
              <w:t xml:space="preserve">$275.00/hr</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Statistician – Team Training Workshop (2 sessions, United States Miami office)</w:t>
            </w:r>
          </w:p>
        </w:tc>
        <w:tc>
          <w:tcPr/>
          <w:p>
            <w:pPr>
              <w:pStyle w:val="Compact"/>
              <w:jc w:val="left"/>
            </w:pPr>
            <w:r>
              <w:t xml:space="preserve">2 days</w:t>
            </w:r>
          </w:p>
        </w:tc>
        <w:tc>
          <w:tcPr/>
          <w:p>
            <w:pPr>
              <w:pStyle w:val="Compact"/>
              <w:jc w:val="left"/>
            </w:pPr>
            <w:r>
              <w:t xml:space="preserve">$2,800.00/day</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Travel &amp; Local Transportation within United States Miami Metro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Software Licensing (R, SAS, Python – project duration)</w:t>
            </w:r>
          </w:p>
        </w:tc>
        <w:tc>
          <w:tcPr/>
          <w:p>
            <w:pPr>
              <w:pStyle w:val="Compact"/>
              <w:jc w:val="left"/>
            </w:pPr>
            <w:r>
              <w:t xml:space="preserve">3 months</w:t>
            </w:r>
          </w:p>
        </w:tc>
        <w:tc>
          <w:tcPr/>
          <w:p>
            <w:pPr>
              <w:pStyle w:val="Compact"/>
              <w:jc w:val="left"/>
            </w:pPr>
            <w:r>
              <w:t xml:space="preserve">—</w:t>
            </w:r>
          </w:p>
        </w:tc>
        <w:tc>
          <w:tcPr/>
          <w:p>
            <w:pPr>
              <w:pStyle w:val="Compact"/>
              <w:jc w:val="left"/>
            </w:pPr>
            <w:r>
              <w:t xml:space="preserve">$3,450.00</w:t>
            </w:r>
          </w:p>
        </w:tc>
      </w:tr>
      <w:tr>
        <w:tc>
          <w:tcPr>
            <w:gridSpan w:val="4"/>
          </w:tcPr>
          <w:p>
            <w:pPr>
              <w:pStyle w:val="Compact"/>
              <w:jc w:val="left"/>
            </w:pPr>
            <w:r>
              <w:t xml:space="preserve">Subtotal</w:t>
            </w:r>
          </w:p>
        </w:tc>
        <w:tc>
          <w:tcPr/>
          <w:p>
            <w:pPr>
              <w:pStyle w:val="Compact"/>
              <w:jc w:val="left"/>
            </w:pPr>
            <w:r>
              <w:t xml:space="preserve">$45,010.00</w:t>
            </w:r>
          </w:p>
        </w:tc>
      </w:tr>
      <w:tr>
        <w:tc>
          <w:tcPr>
            <w:gridSpan w:val="4"/>
          </w:tcPr>
          <w:p>
            <w:pPr>
              <w:pStyle w:val="Compact"/>
              <w:jc w:val="left"/>
            </w:pPr>
            <w:r>
              <w:t xml:space="preserve">Applicable Sales Tax (Miami-Dade County, 6.5%)</w:t>
            </w:r>
          </w:p>
        </w:tc>
        <w:tc>
          <w:tcPr/>
          <w:p>
            <w:pPr>
              <w:pStyle w:val="Compact"/>
              <w:jc w:val="left"/>
            </w:pPr>
            <w:r>
              <w:t xml:space="preserve">$2,925.65</w:t>
            </w:r>
          </w:p>
        </w:tc>
      </w:tr>
      <w:tr>
        <w:tc>
          <w:tcPr>
            <w:gridSpan w:val="4"/>
          </w:tcPr>
          <w:p>
            <w:pPr>
              <w:pStyle w:val="Compact"/>
              <w:jc w:val="left"/>
            </w:pPr>
            <w:r>
              <w:rPr>
                <w:bCs/>
                <w:b/>
              </w:rPr>
              <w:t xml:space="preserve">Grand Total (USD)</w:t>
            </w:r>
          </w:p>
        </w:tc>
        <w:tc>
          <w:tcPr/>
          <w:p>
            <w:pPr>
              <w:pStyle w:val="Compact"/>
              <w:jc w:val="left"/>
            </w:pPr>
            <w:r>
              <w:rPr>
                <w:bCs/>
                <w:b/>
              </w:rPr>
              <w:t xml:space="preserve">$47,935.65</w:t>
            </w:r>
          </w:p>
        </w:tc>
      </w:tr>
    </w:tbl>
    <w:bookmarkEnd w:id="22"/>
    <w:bookmarkStart w:id="23" w:name="project-timeline"/>
    <w:p>
      <w:pPr>
        <w:pStyle w:val="Heading2"/>
      </w:pPr>
      <w:r>
        <w:t xml:space="preserve">3. Project Timeline</w:t>
      </w:r>
    </w:p>
    <w:p>
      <w:pPr>
        <w:pStyle w:val="FirstParagraph"/>
      </w:pPr>
      <w:r>
        <w:t xml:space="preserve">The</w:t>
      </w:r>
      <w:r>
        <w:t xml:space="preserve"> </w:t>
      </w:r>
      <w:r>
        <w:rPr>
          <w:bCs/>
          <w:b/>
        </w:rPr>
        <w:t xml:space="preserve">Statistician</w:t>
      </w:r>
      <w:r>
        <w:t xml:space="preserve"> </w:t>
      </w:r>
      <w:r>
        <w:t xml:space="preserve">engagement under this</w:t>
      </w:r>
      <w:r>
        <w:t xml:space="preserve"> </w:t>
      </w:r>
      <w:r>
        <w:rPr>
          <w:bCs/>
          <w:b/>
        </w:rPr>
        <w:t xml:space="preserve">Quotation Estimate</w:t>
      </w:r>
      <w:r>
        <w:t xml:space="preserve"> </w:t>
      </w:r>
      <w:r>
        <w:t xml:space="preserve">is projected to span approximately twelve (12) weeks from the date of contract execution. The initial on-site consultation in the United States Miami office will commence within five (5) business days of approval. Milestone deliverables will be submitted bi-weekly, and a final comprehensive statistical report will be delivered no later than the end of Week 12. Any extensions beyond the stated timeline will be subject to a revised</w:t>
      </w:r>
      <w:r>
        <w:t xml:space="preserve"> </w:t>
      </w:r>
      <w:r>
        <w:rPr>
          <w:bCs/>
          <w:b/>
        </w:rPr>
        <w:t xml:space="preserve">Quotation Estimate</w:t>
      </w:r>
      <w:r>
        <w:t xml:space="preserve"> </w:t>
      </w:r>
      <w:r>
        <w:t xml:space="preserve">issued by Apex Analytical Consulting Group.</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rPr>
          <w:bCs/>
          <w:b/>
        </w:rPr>
        <w:t xml:space="preserve">Quotation Estimate</w:t>
      </w:r>
      <w:r>
        <w:t xml:space="preserve"> </w:t>
      </w:r>
      <w:r>
        <w:t xml:space="preserve">is valid for thirty (30) calendar days from the date of issue. After the expiration date, all rates and availability of the</w:t>
      </w:r>
      <w:r>
        <w:t xml:space="preserve"> </w:t>
      </w:r>
      <w:r>
        <w:rPr>
          <w:bCs/>
          <w:b/>
        </w:rPr>
        <w:t xml:space="preserve">Statistician</w:t>
      </w:r>
      <w:r>
        <w:t xml:space="preserve"> </w:t>
      </w:r>
      <w:r>
        <w:t xml:space="preserve">are subject to re-evaluation.</w:t>
      </w:r>
    </w:p>
    <w:p>
      <w:pPr>
        <w:numPr>
          <w:ilvl w:val="0"/>
          <w:numId w:val="1002"/>
        </w:numPr>
        <w:pStyle w:val="Compact"/>
      </w:pPr>
      <w:r>
        <w:t xml:space="preserve">Payment terms: 40% upon execution of the service agreement, 40% upon delivery of the mid-project milestone report, and 20% upon final acceptance of all deliverables. All payments are due within fifteen (15) days of invoice date.</w:t>
      </w:r>
    </w:p>
    <w:p>
      <w:pPr>
        <w:numPr>
          <w:ilvl w:val="0"/>
          <w:numId w:val="1002"/>
        </w:numPr>
        <w:pStyle w:val="Compact"/>
      </w:pPr>
      <w:r>
        <w:t xml:space="preserve">All work performed by the</w:t>
      </w:r>
      <w:r>
        <w:t xml:space="preserve"> </w:t>
      </w:r>
      <w:r>
        <w:rPr>
          <w:bCs/>
          <w:b/>
        </w:rPr>
        <w:t xml:space="preserve">Statistician</w:t>
      </w:r>
      <w:r>
        <w:t xml:space="preserve"> </w:t>
      </w:r>
      <w:r>
        <w:t xml:space="preserve">under this engagement shall be conducted in accordance with professional standards set forth by the American Statistical Association (ASA) and applicable United States federal and Florida state regulations.</w:t>
      </w:r>
    </w:p>
    <w:p>
      <w:pPr>
        <w:numPr>
          <w:ilvl w:val="0"/>
          <w:numId w:val="1002"/>
        </w:numPr>
        <w:pStyle w:val="Compact"/>
      </w:pPr>
      <w:r>
        <w:t xml:space="preserve">Confidentiality: The</w:t>
      </w:r>
      <w:r>
        <w:t xml:space="preserve"> </w:t>
      </w:r>
      <w:r>
        <w:rPr>
          <w:bCs/>
          <w:b/>
        </w:rPr>
        <w:t xml:space="preserve">Statistician</w:t>
      </w:r>
      <w:r>
        <w:t xml:space="preserve"> </w:t>
      </w:r>
      <w:r>
        <w:t xml:space="preserve">and Apex Analytical Consulting Group agree to maintain strict confidentiality of all client data, proprietary information, and research findings in compliance with HIPAA and the United States Miami local data protection ordinances.</w:t>
      </w:r>
    </w:p>
    <w:p>
      <w:pPr>
        <w:numPr>
          <w:ilvl w:val="0"/>
          <w:numId w:val="1002"/>
        </w:numPr>
        <w:pStyle w:val="Compact"/>
      </w:pPr>
      <w:r>
        <w:t xml:space="preserve">Intellectual Property: All statistical models, code, reports, and analytical outputs produced under this</w:t>
      </w:r>
      <w:r>
        <w:t xml:space="preserve"> </w:t>
      </w:r>
      <w:r>
        <w:rPr>
          <w:bCs/>
          <w:b/>
        </w:rPr>
        <w:t xml:space="preserve">Quotation Estimate</w:t>
      </w:r>
      <w:r>
        <w:t xml:space="preserve"> </w:t>
      </w:r>
      <w:r>
        <w:t xml:space="preserve">shall become the sole property of Coral Bay Health Systems, Inc. upon full payment.</w:t>
      </w:r>
    </w:p>
    <w:p>
      <w:pPr>
        <w:numPr>
          <w:ilvl w:val="0"/>
          <w:numId w:val="1002"/>
        </w:numPr>
        <w:pStyle w:val="Compact"/>
      </w:pPr>
      <w:r>
        <w:t xml:space="preserve">Limitation of Liability: Apex Analytical Consulting Group's total liability under this engagement shall not exceed the Grand Total stated in this</w:t>
      </w:r>
      <w:r>
        <w:t xml:space="preserve"> </w:t>
      </w:r>
      <w:r>
        <w:rPr>
          <w:bCs/>
          <w:b/>
        </w:rPr>
        <w:t xml:space="preserve">Quotation Estimate</w:t>
      </w:r>
      <w:r>
        <w:t xml:space="preserve">.</w:t>
      </w:r>
    </w:p>
    <w:p>
      <w:pPr>
        <w:numPr>
          <w:ilvl w:val="0"/>
          <w:numId w:val="1002"/>
        </w:numPr>
        <w:pStyle w:val="Compact"/>
      </w:pPr>
      <w:r>
        <w:t xml:space="preserve">Governing Law: This agreement shall be governed by and construed in accordance with the laws of the State of Florida, United States, with jurisdiction residing in the courts of Miami-Dade County, United States Miami.</w:t>
      </w:r>
    </w:p>
    <w:p>
      <w:pPr>
        <w:numPr>
          <w:ilvl w:val="0"/>
          <w:numId w:val="1002"/>
        </w:numPr>
        <w:pStyle w:val="Compact"/>
      </w:pPr>
      <w:r>
        <w:t xml:space="preserve">Force Majeure: Neither party shall be liable for delays caused by events beyond reasonable control, including but not limited to natural disasters affecting the United States Miami area, pandemics, or government-mandated closures.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authorizes Apex Analytical Consulting Group to proceed with the engagement of the designated</w:t>
      </w:r>
      <w:r>
        <w:t xml:space="preserve"> </w:t>
      </w:r>
      <w:r>
        <w:rPr>
          <w:bCs/>
          <w:b/>
        </w:rPr>
        <w:t xml:space="preserve">Statistician</w:t>
      </w:r>
      <w:r>
        <w:t xml:space="preserve"> </w:t>
      </w:r>
      <w:r>
        <w:t xml:space="preserve">for the services described herein, to be performed in the United States Miami area as outlined in this document.</w:t>
      </w:r>
    </w:p>
    <w:p>
      <w:pPr>
        <w:pStyle w:val="BodyText"/>
      </w:pPr>
      <w:r>
        <w:rPr>
          <w:bCs/>
          <w:b/>
        </w:rPr>
        <w:t xml:space="preserve">For Apex Analytical Consulting Group</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rPr>
          <w:bCs/>
          <w:b/>
        </w:rPr>
        <w:t xml:space="preserve">For Coral Bay Health Systems, Inc.</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Apex Analytical Consulting Group  |  1200 Brickell Avenue, Suite 2400, Miami, FL 33131, United States</w:t>
      </w:r>
    </w:p>
    <w:p>
      <w:pPr>
        <w:pStyle w:val="BodyText"/>
      </w:pPr>
      <w:r>
        <w:t xml:space="preserve">This Quotation Estimate is a commercial document and does not constitute a binding contract until countersigned by both parties.</w:t>
      </w:r>
    </w:p>
    <w:p>
      <w:pPr>
        <w:pStyle w:val="BodyText"/>
      </w:pPr>
      <w:r>
        <w:t xml:space="preserve">Document ID: QTE-2025-04871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States Miami</dc:title>
  <dc:creator/>
  <dc:language>en</dc:language>
  <cp:keywords/>
  <dcterms:created xsi:type="dcterms:W3CDTF">2026-10-10T03:02:46Z</dcterms:created>
  <dcterms:modified xsi:type="dcterms:W3CDTF">2026-10-10T03:02:46Z</dcterms:modified>
</cp:coreProperties>
</file>

<file path=docProps/custom.xml><?xml version="1.0" encoding="utf-8"?>
<Properties xmlns="http://schemas.openxmlformats.org/officeDocument/2006/custom-properties" xmlns:vt="http://schemas.openxmlformats.org/officeDocument/2006/docPropsVTypes"/>
</file>