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Statistician Services — United States New York City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QTE-2025-NYC-04871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Dr. Eleanor M. Whitfield, Ph.D. in Statistics</w:t>
            </w:r>
          </w:p>
        </w:tc>
        <w:tc>
          <w:tcPr/>
          <w:p>
            <w:pPr>
              <w:pStyle w:val="Compact"/>
              <w:jc w:val="left"/>
            </w:pPr>
            <w:r>
              <w:t xml:space="preserve">Firm:</w:t>
            </w:r>
          </w:p>
        </w:tc>
        <w:tc>
          <w:tcPr/>
          <w:p>
            <w:pPr>
              <w:pStyle w:val="Compact"/>
              <w:jc w:val="left"/>
            </w:pPr>
            <w:r>
              <w:t xml:space="preserve">Whitfield Analytical Consulting LLC</w:t>
            </w:r>
          </w:p>
        </w:tc>
      </w:tr>
      <w:tr>
        <w:tc>
          <w:tcPr/>
          <w:p>
            <w:pPr>
              <w:pStyle w:val="Compact"/>
              <w:jc w:val="left"/>
            </w:pPr>
            <w:r>
              <w:t xml:space="preserve">Address:</w:t>
            </w:r>
          </w:p>
        </w:tc>
        <w:tc>
          <w:tcPr>
            <w:gridSpan w:val="3"/>
          </w:tcPr>
          <w:p>
            <w:pPr>
              <w:pStyle w:val="Compact"/>
              <w:jc w:val="left"/>
            </w:pPr>
            <w:r>
              <w:t xml:space="preserve">1285 Avenue of the Americas, Suite 2400, New York City, New York 10020, United States</w:t>
            </w:r>
          </w:p>
        </w:tc>
      </w:tr>
      <w:tr>
        <w:tc>
          <w:tcPr/>
          <w:p>
            <w:pPr>
              <w:pStyle w:val="Compact"/>
              <w:jc w:val="left"/>
            </w:pPr>
            <w:r>
              <w:t xml:space="preserve">Client:</w:t>
            </w:r>
          </w:p>
        </w:tc>
        <w:tc>
          <w:tcPr>
            <w:gridSpan w:val="3"/>
          </w:tcPr>
          <w:p>
            <w:pPr>
              <w:pStyle w:val="Compact"/>
              <w:jc w:val="left"/>
            </w:pPr>
            <w:r>
              <w:t xml:space="preserve">Meridian Health Research Group, Inc. — 450 Park Avenue, New York City, NY 10022</w:t>
            </w:r>
          </w:p>
        </w:tc>
      </w:tr>
    </w:tbl>
    <w:p>
      <w:pPr>
        <w:pStyle w:val="BodyText"/>
      </w:pPr>
      <w:r>
        <w:t xml:space="preserve">SCOPE OF SERVICES — STATISTICIAN ENGAGEMENT</w:t>
      </w:r>
    </w:p>
    <w:p>
      <w:pPr>
        <w:pStyle w:val="BodyText"/>
      </w:pPr>
      <w:r>
        <w:t xml:space="preserve">This</w:t>
      </w:r>
      <w:r>
        <w:t xml:space="preserve"> </w:t>
      </w:r>
      <w:r>
        <w:t xml:space="preserve">Quotation Estimate</w:t>
      </w:r>
      <w:r>
        <w:t xml:space="preserve"> </w:t>
      </w:r>
      <w:r>
        <w:t xml:space="preserve">is issued by Whitfield Analytical Consulting LLC to formally outline the scope, deliverables, and associated costs for the engagement of a senior</w:t>
      </w:r>
      <w:r>
        <w:t xml:space="preserve"> </w:t>
      </w:r>
      <w:r>
        <w:t xml:space="preserve">Statistician</w:t>
      </w:r>
      <w:r>
        <w:t xml:space="preserve"> </w:t>
      </w:r>
      <w:r>
        <w:t xml:space="preserve">to support Meridian Health Research Group, Inc. in the design, execution, and analysis of a multi-site clinical data study. All services described herein will be performed by a credentialed</w:t>
      </w:r>
      <w:r>
        <w:t xml:space="preserve"> </w:t>
      </w:r>
      <w:r>
        <w:t xml:space="preserve">Statistician</w:t>
      </w:r>
      <w:r>
        <w:t xml:space="preserve"> </w:t>
      </w:r>
      <w:r>
        <w:t xml:space="preserve">operating out of our offices in</w:t>
      </w:r>
      <w:r>
        <w:t xml:space="preserve"> </w:t>
      </w:r>
      <w:r>
        <w:t xml:space="preserve">United States New York City</w:t>
      </w:r>
      <w:r>
        <w:t xml:space="preserve">, with on-site availability at the client's Park Avenue location upon request. The</w:t>
      </w:r>
      <w:r>
        <w:t xml:space="preserve"> </w:t>
      </w:r>
      <w:r>
        <w:t xml:space="preserve">Statistician</w:t>
      </w:r>
      <w:r>
        <w:t xml:space="preserve"> </w:t>
      </w:r>
      <w:r>
        <w:t xml:space="preserve">engaged under this</w:t>
      </w:r>
      <w:r>
        <w:t xml:space="preserve"> </w:t>
      </w:r>
      <w:r>
        <w:t xml:space="preserve">Quotation Estimate</w:t>
      </w:r>
      <w:r>
        <w:t xml:space="preserve"> </w:t>
      </w:r>
      <w:r>
        <w:t xml:space="preserve">holds a Doctor of Philosophy in Biostatistics from Columbia University and possesses over fifteen years of experience in regulatory-compliant statistical analysis for pharmaceutical and public health research within the</w:t>
      </w:r>
      <w:r>
        <w:t xml:space="preserve"> </w:t>
      </w:r>
      <w:r>
        <w:t xml:space="preserve">United States New York City</w:t>
      </w:r>
      <w:r>
        <w:t xml:space="preserve"> </w:t>
      </w:r>
      <w:r>
        <w:t xml:space="preserve">metropolitan area.</w:t>
      </w:r>
    </w:p>
    <w:p>
      <w:pPr>
        <w:pStyle w:val="BodyText"/>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Statistical Study Design &amp; Protocol Development — The</w:t>
            </w:r>
            <w:r>
              <w:t xml:space="preserve"> </w:t>
            </w:r>
            <w:r>
              <w:t xml:space="preserve">Statistician</w:t>
            </w:r>
            <w:r>
              <w:t xml:space="preserve"> </w:t>
            </w:r>
            <w:r>
              <w:t xml:space="preserve">will develop a comprehensive statistical analysis plan (SAP) including sample size justification, randomization scheme, and primary/secondary endpoint definitions for the Phase IIb trial.</w:t>
            </w:r>
          </w:p>
        </w:tc>
        <w:tc>
          <w:tcPr/>
          <w:p>
            <w:pPr>
              <w:pStyle w:val="Compact"/>
              <w:jc w:val="left"/>
            </w:pPr>
            <w:r>
              <w:t xml:space="preserve">3 weeks</w:t>
            </w:r>
          </w:p>
        </w:tc>
        <w:tc>
          <w:tcPr/>
          <w:p>
            <w:pPr>
              <w:pStyle w:val="Compact"/>
              <w:jc w:val="left"/>
            </w:pPr>
            <w:r>
              <w:t xml:space="preserve">$385.00 / hr</w:t>
            </w:r>
          </w:p>
        </w:tc>
        <w:tc>
          <w:tcPr/>
          <w:p>
            <w:pPr>
              <w:pStyle w:val="Compact"/>
              <w:jc w:val="left"/>
            </w:pPr>
            <w:r>
              <w:t xml:space="preserve">$36,960.00</w:t>
            </w:r>
          </w:p>
        </w:tc>
        <w:tc>
          <w:tcPr/>
          <w:p>
            <w:pPr>
              <w:pStyle w:val="Compact"/>
              <w:jc w:val="left"/>
            </w:pPr>
            <w:r>
              <w:t xml:space="preserve">On-site in NYC</w:t>
            </w:r>
          </w:p>
        </w:tc>
      </w:tr>
      <w:tr>
        <w:tc>
          <w:tcPr/>
          <w:p>
            <w:pPr>
              <w:pStyle w:val="Compact"/>
              <w:jc w:val="left"/>
            </w:pPr>
            <w:r>
              <w:t xml:space="preserve">2</w:t>
            </w:r>
          </w:p>
        </w:tc>
        <w:tc>
          <w:tcPr/>
          <w:p>
            <w:pPr>
              <w:pStyle w:val="Compact"/>
              <w:jc w:val="left"/>
            </w:pPr>
            <w:r>
              <w:t xml:space="preserve">Data Management &amp; Cleaning Oversight — The</w:t>
            </w:r>
            <w:r>
              <w:t xml:space="preserve"> </w:t>
            </w:r>
            <w:r>
              <w:t xml:space="preserve">Statistician</w:t>
            </w:r>
            <w:r>
              <w:t xml:space="preserve"> </w:t>
            </w:r>
            <w:r>
              <w:t xml:space="preserve">will supervise the data entry, validation, and cleaning process using SAS 9.4 and R 4.3, ensuring compliance with 21 CFR Part 11 and FDA guidance documents applicable in</w:t>
            </w:r>
            <w:r>
              <w:t xml:space="preserve"> </w:t>
            </w:r>
            <w:r>
              <w:t xml:space="preserve">United States New York City</w:t>
            </w:r>
            <w:r>
              <w:t xml:space="preserve"> </w:t>
            </w:r>
            <w:r>
              <w:t xml:space="preserve">regulatory jurisdictions.</w:t>
            </w:r>
          </w:p>
        </w:tc>
        <w:tc>
          <w:tcPr/>
          <w:p>
            <w:pPr>
              <w:pStyle w:val="Compact"/>
              <w:jc w:val="left"/>
            </w:pPr>
            <w:r>
              <w:t xml:space="preserve">6 weeks</w:t>
            </w:r>
          </w:p>
        </w:tc>
        <w:tc>
          <w:tcPr/>
          <w:p>
            <w:pPr>
              <w:pStyle w:val="Compact"/>
              <w:jc w:val="left"/>
            </w:pPr>
            <w:r>
              <w:t xml:space="preserve">$340.00 / hr</w:t>
            </w:r>
          </w:p>
        </w:tc>
        <w:tc>
          <w:tcPr/>
          <w:p>
            <w:pPr>
              <w:pStyle w:val="Compact"/>
              <w:jc w:val="left"/>
            </w:pPr>
            <w:r>
              <w:t xml:space="preserve">$65,280.00</w:t>
            </w:r>
          </w:p>
        </w:tc>
        <w:tc>
          <w:tcPr/>
          <w:p>
            <w:pPr>
              <w:pStyle w:val="Compact"/>
              <w:jc w:val="left"/>
            </w:pPr>
            <w:r>
              <w:t xml:space="preserve">Hybrid (NYC + remote)</w:t>
            </w:r>
          </w:p>
        </w:tc>
      </w:tr>
      <w:tr>
        <w:tc>
          <w:tcPr/>
          <w:p>
            <w:pPr>
              <w:pStyle w:val="Compact"/>
              <w:jc w:val="left"/>
            </w:pPr>
            <w:r>
              <w:t xml:space="preserve">3</w:t>
            </w:r>
          </w:p>
        </w:tc>
        <w:tc>
          <w:tcPr/>
          <w:p>
            <w:pPr>
              <w:pStyle w:val="Compact"/>
              <w:jc w:val="left"/>
            </w:pPr>
            <w:r>
              <w:t xml:space="preserve">Interim &amp; Final Statistical Analysis — Full execution of the SAP including survival analysis, mixed-effects modeling, subgroup analyses, and multiplicity adjustments. The</w:t>
            </w:r>
            <w:r>
              <w:t xml:space="preserve"> </w:t>
            </w:r>
            <w:r>
              <w:t xml:space="preserve">Statistician</w:t>
            </w:r>
            <w:r>
              <w:t xml:space="preserve"> </w:t>
            </w:r>
            <w:r>
              <w:t xml:space="preserve">will produce all tables, figures, and listings (TFLs) required for the FDA submission package.</w:t>
            </w:r>
          </w:p>
        </w:tc>
        <w:tc>
          <w:tcPr/>
          <w:p>
            <w:pPr>
              <w:pStyle w:val="Compact"/>
              <w:jc w:val="left"/>
            </w:pPr>
            <w:r>
              <w:t xml:space="preserve">8 weeks</w:t>
            </w:r>
          </w:p>
        </w:tc>
        <w:tc>
          <w:tcPr/>
          <w:p>
            <w:pPr>
              <w:pStyle w:val="Compact"/>
              <w:jc w:val="left"/>
            </w:pPr>
            <w:r>
              <w:t xml:space="preserve">$385.00 / hr</w:t>
            </w:r>
          </w:p>
        </w:tc>
        <w:tc>
          <w:tcPr/>
          <w:p>
            <w:pPr>
              <w:pStyle w:val="Compact"/>
              <w:jc w:val="left"/>
            </w:pPr>
            <w:r>
              <w:t xml:space="preserve">$123,200.00</w:t>
            </w:r>
          </w:p>
        </w:tc>
        <w:tc>
          <w:tcPr/>
          <w:p>
            <w:pPr>
              <w:pStyle w:val="Compact"/>
              <w:jc w:val="left"/>
            </w:pPr>
            <w:r>
              <w:t xml:space="preserve">On-site in NYC</w:t>
            </w:r>
          </w:p>
        </w:tc>
      </w:tr>
      <w:tr>
        <w:tc>
          <w:tcPr/>
          <w:p>
            <w:pPr>
              <w:pStyle w:val="Compact"/>
              <w:jc w:val="left"/>
            </w:pPr>
            <w:r>
              <w:t xml:space="preserve">4</w:t>
            </w:r>
          </w:p>
        </w:tc>
        <w:tc>
          <w:tcPr/>
          <w:p>
            <w:pPr>
              <w:pStyle w:val="Compact"/>
              <w:jc w:val="left"/>
            </w:pPr>
            <w:r>
              <w:t xml:space="preserve">Regulatory Submission Support — The</w:t>
            </w:r>
            <w:r>
              <w:t xml:space="preserve"> </w:t>
            </w:r>
            <w:r>
              <w:t xml:space="preserve">Statistician</w:t>
            </w:r>
            <w:r>
              <w:t xml:space="preserve"> </w:t>
            </w:r>
            <w:r>
              <w:t xml:space="preserve">will prepare the statistical section of the Clinical Study Report (CSR) and respond to FDA Division of Biometrics queries. All work product will be formatted per ICH E3 guidelines and delivered from our</w:t>
            </w:r>
            <w:r>
              <w:t xml:space="preserve"> </w:t>
            </w:r>
            <w:r>
              <w:t xml:space="preserve">United States New York City</w:t>
            </w:r>
            <w:r>
              <w:t xml:space="preserve"> </w:t>
            </w:r>
            <w:r>
              <w:t xml:space="preserve">office.</w:t>
            </w:r>
          </w:p>
        </w:tc>
        <w:tc>
          <w:tcPr/>
          <w:p>
            <w:pPr>
              <w:pStyle w:val="Compact"/>
              <w:jc w:val="left"/>
            </w:pPr>
            <w:r>
              <w:t xml:space="preserve">4 weeks</w:t>
            </w:r>
          </w:p>
        </w:tc>
        <w:tc>
          <w:tcPr/>
          <w:p>
            <w:pPr>
              <w:pStyle w:val="Compact"/>
              <w:jc w:val="left"/>
            </w:pPr>
            <w:r>
              <w:t xml:space="preserve">$410.00 / hr</w:t>
            </w:r>
          </w:p>
        </w:tc>
        <w:tc>
          <w:tcPr/>
          <w:p>
            <w:pPr>
              <w:pStyle w:val="Compact"/>
              <w:jc w:val="left"/>
            </w:pPr>
            <w:r>
              <w:t xml:space="preserve">$65,600.00</w:t>
            </w:r>
          </w:p>
        </w:tc>
        <w:tc>
          <w:tcPr/>
          <w:p>
            <w:pPr>
              <w:pStyle w:val="Compact"/>
              <w:jc w:val="left"/>
            </w:pPr>
            <w:r>
              <w:t xml:space="preserve">On-site + travel</w:t>
            </w:r>
          </w:p>
        </w:tc>
      </w:tr>
      <w:tr>
        <w:tc>
          <w:tcPr/>
          <w:p>
            <w:pPr>
              <w:pStyle w:val="Compact"/>
              <w:jc w:val="left"/>
            </w:pPr>
            <w:r>
              <w:t xml:space="preserve">5</w:t>
            </w:r>
          </w:p>
        </w:tc>
        <w:tc>
          <w:tcPr/>
          <w:p>
            <w:pPr>
              <w:pStyle w:val="Compact"/>
              <w:jc w:val="left"/>
            </w:pPr>
            <w:r>
              <w:t xml:space="preserve">Peer Review &amp; Quality Assurance — Independent internal review of all statistical outputs by a second senior</w:t>
            </w:r>
            <w:r>
              <w:t xml:space="preserve"> </w:t>
            </w:r>
            <w:r>
              <w:t xml:space="preserve">Statistician</w:t>
            </w:r>
            <w:r>
              <w:t xml:space="preserve"> </w:t>
            </w:r>
            <w:r>
              <w:t xml:space="preserve">at Whitfield Analytical Consulting to ensure methodological rigor and reproducibility before final delivery to the client.</w:t>
            </w:r>
          </w:p>
        </w:tc>
        <w:tc>
          <w:tcPr/>
          <w:p>
            <w:pPr>
              <w:pStyle w:val="Compact"/>
              <w:jc w:val="left"/>
            </w:pPr>
            <w:r>
              <w:t xml:space="preserve">2 weeks</w:t>
            </w:r>
          </w:p>
        </w:tc>
        <w:tc>
          <w:tcPr/>
          <w:p>
            <w:pPr>
              <w:pStyle w:val="Compact"/>
              <w:jc w:val="left"/>
            </w:pPr>
            <w:r>
              <w:t xml:space="preserve">$320.00 / hr</w:t>
            </w:r>
          </w:p>
        </w:tc>
        <w:tc>
          <w:tcPr/>
          <w:p>
            <w:pPr>
              <w:pStyle w:val="Compact"/>
              <w:jc w:val="left"/>
            </w:pPr>
            <w:r>
              <w:t xml:space="preserve">$20,480.00</w:t>
            </w:r>
          </w:p>
        </w:tc>
        <w:tc>
          <w:tcPr/>
          <w:p>
            <w:pPr>
              <w:pStyle w:val="Compact"/>
              <w:jc w:val="left"/>
            </w:pPr>
            <w:r>
              <w:t xml:space="preserve">Internal QA</w:t>
            </w:r>
          </w:p>
        </w:tc>
      </w:tr>
      <w:tr>
        <w:tc>
          <w:tcPr/>
          <w:p>
            <w:pPr>
              <w:pStyle w:val="Compact"/>
              <w:jc w:val="left"/>
            </w:pPr>
            <w:r>
              <w:t xml:space="preserve">6</w:t>
            </w:r>
          </w:p>
        </w:tc>
        <w:tc>
          <w:tcPr/>
          <w:p>
            <w:pPr>
              <w:pStyle w:val="Compact"/>
              <w:jc w:val="left"/>
            </w:pPr>
            <w:r>
              <w:t xml:space="preserve">Travel &amp; Local Transportation — All travel within the</w:t>
            </w:r>
            <w:r>
              <w:t xml:space="preserve"> </w:t>
            </w:r>
            <w:r>
              <w:t xml:space="preserve">United States New York City</w:t>
            </w:r>
            <w:r>
              <w:t xml:space="preserve"> </w:t>
            </w:r>
            <w:r>
              <w:t xml:space="preserve">five-borough area (Manhattan, Brooklyn, Queens, Bronx, Staten Island) for on-site meetings, data center visits, and client presentations.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$4,850.00</w:t>
            </w:r>
          </w:p>
        </w:tc>
        <w:tc>
          <w:tcPr/>
          <w:p>
            <w:pPr>
              <w:pStyle w:val="Compact"/>
              <w:jc w:val="left"/>
            </w:pPr>
            <w:r>
              <w:t xml:space="preserve">NYC metro only</w:t>
            </w:r>
          </w:p>
        </w:tc>
      </w:tr>
      <w:tr>
        <w:tc>
          <w:tcPr/>
          <w:p>
            <w:pPr>
              <w:pStyle w:val="Compact"/>
              <w:jc w:val="left"/>
            </w:pPr>
            <w:r>
              <w:t xml:space="preserve">7</w:t>
            </w:r>
          </w:p>
        </w:tc>
        <w:tc>
          <w:tcPr/>
          <w:p>
            <w:pPr>
              <w:pStyle w:val="Compact"/>
              <w:jc w:val="left"/>
            </w:pPr>
            <w:r>
              <w:t xml:space="preserve">Software Licensing &amp; Computational Resources — SAS/IML, SAS/STAT, R, and HPC cluster access for large-scale Monte Carlo simulations and bootstrap procedures required by the</w:t>
            </w:r>
            <w:r>
              <w:t xml:space="preserve"> </w:t>
            </w:r>
            <w:r>
              <w:t xml:space="preserve">Statistician</w:t>
            </w:r>
            <w:r>
              <w:t xml:space="preserve">.</w:t>
            </w:r>
          </w:p>
        </w:tc>
        <w:tc>
          <w:tcPr/>
          <w:p>
            <w:pPr>
              <w:pStyle w:val="Compact"/>
              <w:jc w:val="left"/>
            </w:pPr>
            <w:r>
              <w:t xml:space="preserve">24 weeks</w:t>
            </w:r>
          </w:p>
        </w:tc>
        <w:tc>
          <w:tcPr/>
          <w:p>
            <w:pPr>
              <w:pStyle w:val="Compact"/>
              <w:jc w:val="left"/>
            </w:pPr>
            <w:r>
              <w:t xml:space="preserve">—</w:t>
            </w:r>
          </w:p>
        </w:tc>
        <w:tc>
          <w:tcPr/>
          <w:p>
            <w:pPr>
              <w:pStyle w:val="Compact"/>
              <w:jc w:val="left"/>
            </w:pPr>
            <w:r>
              <w:t xml:space="preserve">$12,300.00</w:t>
            </w:r>
          </w:p>
        </w:tc>
        <w:tc>
          <w:tcPr/>
          <w:p>
            <w:pPr>
              <w:pStyle w:val="Compact"/>
              <w:jc w:val="left"/>
            </w:pPr>
            <w:r>
              <w:t xml:space="preserve">Per project</w:t>
            </w:r>
          </w:p>
        </w:tc>
      </w:tr>
      <w:tr>
        <w:tc>
          <w:tcPr>
            <w:gridSpan w:val="4"/>
          </w:tcPr>
          <w:p>
            <w:pPr>
              <w:pStyle w:val="Compact"/>
              <w:jc w:val="right"/>
            </w:pPr>
            <w:r>
              <w:t xml:space="preserve">TOTAL ESTIMATED COST (USD)</w:t>
            </w:r>
          </w:p>
        </w:tc>
        <w:tc>
          <w:tcPr/>
          <w:p>
            <w:pPr>
              <w:pStyle w:val="Compact"/>
              <w:jc w:val="left"/>
            </w:pPr>
            <w:r>
              <w:t xml:space="preserve">$328,670.00</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 designated</w:t>
      </w:r>
      <w:r>
        <w:t xml:space="preserve"> </w:t>
      </w:r>
      <w:r>
        <w:t xml:space="preserve">Statistician</w:t>
      </w:r>
      <w:r>
        <w:t xml:space="preserve"> </w:t>
      </w:r>
      <w:r>
        <w:t xml:space="preserve">are subject to re-evaluation.</w:t>
      </w:r>
    </w:p>
    <w:p>
      <w:pPr>
        <w:numPr>
          <w:ilvl w:val="0"/>
          <w:numId w:val="1001"/>
        </w:numPr>
        <w:pStyle w:val="Compact"/>
      </w:pPr>
      <w:r>
        <w:t xml:space="preserve">Payment terms: 40% upon execution of the Statement of Work, 35% upon completion of the Interim Analysis (Milestone 3), and 25% upon final delivery of the CSR statistical section. All payments are due net-30 days from invoice date and shall be made in United States Dollars via ACH transfer to the firm's account held at a bank in</w:t>
      </w:r>
      <w:r>
        <w:t xml:space="preserve"> </w:t>
      </w:r>
      <w:r>
        <w:t xml:space="preserve">United States New York City</w:t>
      </w:r>
      <w:r>
        <w:t xml:space="preserve">.</w:t>
      </w:r>
    </w:p>
    <w:p>
      <w:pPr>
        <w:numPr>
          <w:ilvl w:val="0"/>
          <w:numId w:val="1001"/>
        </w:numPr>
        <w:pStyle w:val="Compac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shall maintain full professional liability insurance with a minimum coverage of $2,000,000 per occurrence, as required for statistical consulting engagements in the State of New York.</w:t>
      </w:r>
    </w:p>
    <w:p>
      <w:pPr>
        <w:numPr>
          <w:ilvl w:val="0"/>
          <w:numId w:val="1001"/>
        </w:numPr>
        <w:pStyle w:val="Compact"/>
      </w:pPr>
      <w:r>
        <w:t xml:space="preserve">All deliverables, including but not limited to statistical code, analysis reports, and data dictionaries, shall be the exclusive intellectual property of the client upon full payment. The</w:t>
      </w:r>
      <w:r>
        <w:t xml:space="preserve"> </w:t>
      </w:r>
      <w:r>
        <w:t xml:space="preserve">Statistician</w:t>
      </w:r>
      <w:r>
        <w:t xml:space="preserve"> </w:t>
      </w:r>
      <w:r>
        <w:t xml:space="preserve">retains the right to reference the engagement in professional portfolios with client anonymization.</w:t>
      </w:r>
    </w:p>
    <w:p>
      <w:pPr>
        <w:numPr>
          <w:ilvl w:val="0"/>
          <w:numId w:val="1001"/>
        </w:numPr>
        <w:pStyle w:val="Compact"/>
      </w:pPr>
      <w:r>
        <w:t xml:space="preserve">Any scope changes exceeding ten percent (10%) of the total estimated hours will require a written amendment to this</w:t>
      </w:r>
      <w:r>
        <w:t xml:space="preserve"> </w:t>
      </w:r>
      <w:r>
        <w:t xml:space="preserve">Quotation Estimate</w:t>
      </w:r>
      <w:r>
        <w:t xml:space="preserve">, signed by both parties, before additional work commences.</w:t>
      </w:r>
    </w:p>
    <w:p>
      <w:pPr>
        <w:numPr>
          <w:ilvl w:val="0"/>
          <w:numId w:val="1001"/>
        </w:numPr>
        <w:pStyle w:val="Compact"/>
      </w:pPr>
      <w:r>
        <w:t xml:space="preserve">This engagement is governed by the laws of the State of New York, and any disputes arising from this</w:t>
      </w:r>
      <w:r>
        <w:t xml:space="preserve"> </w:t>
      </w:r>
      <w:r>
        <w:t xml:space="preserve">Quotation Estimate</w:t>
      </w:r>
      <w:r>
        <w:t xml:space="preserve"> </w:t>
      </w:r>
      <w:r>
        <w:t xml:space="preserve">shall be resolved through binding arbitration in</w:t>
      </w:r>
      <w:r>
        <w:t xml:space="preserve"> </w:t>
      </w:r>
      <w:r>
        <w:t xml:space="preserve">United States New York City</w:t>
      </w:r>
      <w:r>
        <w:t xml:space="preserve"> </w:t>
      </w:r>
      <w:r>
        <w:t xml:space="preserve">in accordance with the rules of the American Arbitration Association.</w:t>
      </w:r>
    </w:p>
    <w:p>
      <w:pPr>
        <w:numPr>
          <w:ilvl w:val="0"/>
          <w:numId w:val="1001"/>
        </w:numPr>
        <w:pStyle w:val="Compact"/>
      </w:pPr>
      <w:r>
        <w:t xml:space="preserve">The</w:t>
      </w:r>
      <w:r>
        <w:t xml:space="preserve"> </w:t>
      </w:r>
      <w:r>
        <w:t xml:space="preserve">Statistician</w:t>
      </w:r>
      <w:r>
        <w:t xml:space="preserve"> </w:t>
      </w:r>
      <w:r>
        <w:t xml:space="preserve">shall comply with all applicable federal and state regulations, including but not limited to HIPAA, the Common Rule (45 CFR 46), and New York State Public Health Law, throughout the duration of the engagement.</w:t>
      </w:r>
    </w:p>
    <w:p>
      <w:pPr>
        <w:numPr>
          <w:ilvl w:val="0"/>
          <w:numId w:val="1001"/>
        </w:numPr>
        <w:pStyle w:val="Compact"/>
      </w:pPr>
      <w:r>
        <w:t xml:space="preserve">Confidentiality: All data, protocols, and proprietary information shared with the</w:t>
      </w:r>
      <w:r>
        <w:t xml:space="preserve"> </w:t>
      </w:r>
      <w:r>
        <w:t xml:space="preserve">Statistician</w:t>
      </w:r>
      <w:r>
        <w:t xml:space="preserve"> </w:t>
      </w:r>
      <w:r>
        <w:t xml:space="preserve">are subject to a separate Non-Disclosure Agreement (NDA) executed concurrently with this</w:t>
      </w:r>
      <w:r>
        <w:t xml:space="preserve"> </w:t>
      </w:r>
      <w:r>
        <w:t xml:space="preserve">Quotation Estimate</w:t>
      </w:r>
      <w:r>
        <w:t xml:space="preserve">.</w:t>
      </w:r>
    </w:p>
    <w:p>
      <w:pPr>
        <w:pStyle w:val="FirstParagraph"/>
      </w:pPr>
      <w:r>
        <w:rPr>
          <w:bCs/>
          <w:b/>
        </w:rPr>
        <w:t xml:space="preserve">Prepared and Issued By:</w:t>
      </w:r>
    </w:p>
    <w:p>
      <w:pPr>
        <w:pStyle w:val="BodyText"/>
      </w:pPr>
      <w:r>
        <w:t xml:space="preserve">Dr. Eleanor M. Whitfield, Ph.D.</w:t>
      </w:r>
      <w:r>
        <w:br/>
      </w:r>
      <w:r>
        <w:t xml:space="preserve">Senior Statistician &amp; Principal</w:t>
      </w:r>
      <w:r>
        <w:br/>
      </w:r>
      <w:r>
        <w:t xml:space="preserve">Whitfield Analytical Consulting LLC</w:t>
      </w:r>
      <w:r>
        <w:br/>
      </w:r>
      <w:r>
        <w:t xml:space="preserve">New York City, New York, United States</w:t>
      </w:r>
    </w:p>
    <w:p>
      <w:pPr>
        <w:pStyle w:val="BodyText"/>
      </w:pPr>
      <w:r>
        <w:t xml:space="preserve">Signature &amp; Date</w:t>
      </w:r>
    </w:p>
    <w:p>
      <w:pPr>
        <w:pStyle w:val="BodyText"/>
      </w:pPr>
      <w:r>
        <w:rPr>
          <w:bCs/>
          <w:b/>
        </w:rPr>
        <w:t xml:space="preserve">Accepted and Approved By (Client):</w:t>
      </w:r>
    </w:p>
    <w:p>
      <w:pPr>
        <w:pStyle w:val="BodyText"/>
      </w:pPr>
      <w:r>
        <w:t xml:space="preserve">Authorized Representative</w:t>
      </w:r>
      <w:r>
        <w:br/>
      </w:r>
      <w:r>
        <w:t xml:space="preserve">Meridian Health Research Group, Inc.</w:t>
      </w:r>
      <w:r>
        <w:br/>
      </w:r>
      <w:r>
        <w:t xml:space="preserve">New York City, New York, United States</w:t>
      </w:r>
    </w:p>
    <w:p>
      <w:pPr>
        <w:pStyle w:val="BodyText"/>
      </w:pPr>
      <w:r>
        <w:t xml:space="preserve">Signature &amp; Date</w:t>
      </w:r>
    </w:p>
    <w:p>
      <w:pPr>
        <w:pStyle w:val="BodyText"/>
      </w:pPr>
      <w:r>
        <w:t xml:space="preserve">Whitfield Analytical Consulting LLC — 1285 Avenue of the Americas, Suite 2400, New York City, NY 10020, United States</w:t>
      </w:r>
      <w:r>
        <w:br/>
      </w:r>
      <w:r>
        <w:t xml:space="preserve">Phone: (212) 555-0198  |  Email: estimates@whitfieldanalytical.com  |  NY State Business License No. 88-4421-7733</w:t>
      </w:r>
      <w:r>
        <w:br/>
      </w:r>
      <w:r>
        <w:t xml:space="preserve">This Quotation Estimate is a non-binding document until converted into a formal Statement of Work. © 2025 Whitfield Analytical Consulting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States New York City</dc:title>
  <dc:creator/>
  <dc:language>en</dc:language>
  <cp:keywords/>
  <dcterms:created xsi:type="dcterms:W3CDTF">2026-10-10T08:10:22Z</dcterms:created>
  <dcterms:modified xsi:type="dcterms:W3CDTF">2026-10-10T08:10:22Z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