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5" w:name="quotation-estimate"/>
    <w:p>
      <w:pPr>
        <w:pStyle w:val="Heading1"/>
      </w:pPr>
      <w:r>
        <w:t xml:space="preserve">QUOTATION ESTIMATE</w:t>
      </w:r>
    </w:p>
    <w:p>
      <w:pPr>
        <w:pStyle w:val="FirstParagraph"/>
      </w:pPr>
      <w:r>
        <w:rPr>
          <w:bCs/>
          <w:b/>
        </w:rPr>
        <w:t xml:space="preserve">Professional Statistician Services for Uzbekistan Tashkent</w:t>
      </w:r>
    </w:p>
    <w:p>
      <w:pPr>
        <w:pStyle w:val="BodyText"/>
      </w:pPr>
      <w:r>
        <w:rPr>
          <w:bCs/>
          <w:b/>
        </w:rPr>
        <w:t xml:space="preserve">Provider:</w:t>
      </w:r>
      <w:r>
        <w:t xml:space="preserve"> </w:t>
      </w:r>
      <w:r>
        <w:t xml:space="preserve">Central Asia Data Analytics LLC</w:t>
      </w:r>
    </w:p>
    <w:p>
      <w:pPr>
        <w:pStyle w:val="BodyText"/>
      </w:pPr>
      <w:r>
        <w:rPr>
          <w:bCs/>
          <w:b/>
        </w:rPr>
        <w:t xml:space="preserve">Address:</w:t>
      </w:r>
      <w:r>
        <w:t xml:space="preserve"> </w:t>
      </w:r>
      <w:r>
        <w:t xml:space="preserve">42 Amir Temur Avenue, Tashkent, Uzbekistan 100011</w:t>
      </w:r>
    </w:p>
    <w:p>
      <w:pPr>
        <w:pStyle w:val="BodyText"/>
      </w:pPr>
      <w:r>
        <w:rPr>
          <w:bCs/>
          <w:b/>
        </w:rPr>
        <w:t xml:space="preserve">Phone:</w:t>
      </w:r>
      <w:r>
        <w:t xml:space="preserve"> </w:t>
      </w:r>
      <w:r>
        <w:t xml:space="preserve">+998 71 200 45 67</w:t>
      </w:r>
    </w:p>
    <w:p>
      <w:pPr>
        <w:pStyle w:val="BodyText"/>
      </w:pPr>
      <w:r>
        <w:rPr>
          <w:bCs/>
          <w:b/>
        </w:rPr>
        <w:t xml:space="preserve">Email:</w:t>
      </w:r>
      <w:r>
        <w:t xml:space="preserve"> </w:t>
      </w:r>
      <w:r>
        <w:t xml:space="preserve">estimates@cadatalytics.uz</w:t>
      </w:r>
    </w:p>
    <w:p>
      <w:pPr>
        <w:pStyle w:val="BodyText"/>
      </w:pPr>
      <w:r>
        <w:rPr>
          <w:bCs/>
          <w:b/>
        </w:rPr>
        <w:t xml:space="preserve">Tax ID (INN):</w:t>
      </w:r>
      <w:r>
        <w:t xml:space="preserve"> </w:t>
      </w:r>
      <w:r>
        <w:t xml:space="preserve">201543876</w:t>
      </w:r>
    </w:p>
    <w:p>
      <w:pPr>
        <w:pStyle w:val="BodyText"/>
      </w:pPr>
      <w:r>
        <w:rPr>
          <w:bCs/>
          <w:b/>
        </w:rPr>
        <w:t xml:space="preserve">Quotation No.:</w:t>
      </w:r>
      <w:r>
        <w:t xml:space="preserve"> </w:t>
      </w:r>
      <w:r>
        <w:t xml:space="preserve">QE-2025-TSK-0487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Alisher Karimov, Lead Statistician</w:t>
      </w:r>
    </w:p>
    <w:p>
      <w:pPr>
        <w:pStyle w:val="BodyText"/>
      </w:pPr>
      <w:r>
        <w:rPr>
          <w:bCs/>
          <w:b/>
        </w:rPr>
        <w:t xml:space="preserve">Client:</w:t>
      </w:r>
      <w:r>
        <w:t xml:space="preserve"> </w:t>
      </w:r>
      <w:r>
        <w:t xml:space="preserve">Tashkent Municipal Health Authority</w:t>
      </w:r>
    </w:p>
    <w:p>
      <w:pPr>
        <w:pStyle w:val="BodyText"/>
      </w:pPr>
      <w:r>
        <w:rPr>
          <w:bCs/>
          <w:b/>
        </w:rPr>
        <w:t xml:space="preserve">Client Address:</w:t>
      </w:r>
      <w:r>
        <w:t xml:space="preserve"> </w:t>
      </w:r>
      <w:r>
        <w:t xml:space="preserve">15 Navoi Street, Tashkent, Uzbekistan 100000</w:t>
      </w:r>
    </w:p>
    <w:p>
      <w:pPr>
        <w:pStyle w:val="BodyText"/>
      </w:pPr>
      <w:r>
        <w:rPr>
          <w:bCs/>
          <w:b/>
        </w:rPr>
        <w:t xml:space="preserve">Project Location:</w:t>
      </w:r>
      <w:r>
        <w:t xml:space="preserve"> </w:t>
      </w:r>
      <w:r>
        <w:t xml:space="preserve">Uzbekistan Tashkent (all districts)</w:t>
      </w:r>
    </w:p>
    <w:p>
      <w:pPr>
        <w:pStyle w:val="BodyText"/>
      </w:pPr>
      <w:r>
        <w:rPr>
          <w:bCs/>
          <w:b/>
        </w:rPr>
        <w:t xml:space="preserve">Project Title:</w:t>
      </w:r>
      <w:r>
        <w:t xml:space="preserve"> </w:t>
      </w:r>
      <w:r>
        <w:t xml:space="preserve">Comprehensive Statistical Analysis and Demographic Modelling for Public Health Planning</w:t>
      </w:r>
    </w:p>
    <w:bookmarkStart w:id="20" w:name="purpose-of-this-quotation-estimate"/>
    <w:p>
      <w:pPr>
        <w:pStyle w:val="Heading2"/>
      </w:pPr>
      <w:r>
        <w:t xml:space="preserve">1. Purpose of This Quotation Estimate</w:t>
      </w:r>
    </w:p>
    <w:p>
      <w:pPr>
        <w:pStyle w:val="FirstParagraph"/>
      </w:pPr>
      <w:r>
        <w:t xml:space="preserve">This Quotation Estimate is formally issued by Central Asia Data Analytics LLC to provide a detailed, itemized cost breakdown for the engagement of a qualified Statistician and supporting analytical team to deliver statistical consulting, data modelling, and reporting services in Uzbekistan Tashkent. This document serves as the official Quotation Estimate for the client's review, approval, and subsequent contractual binding. All figures presented herein are denominated in Uzbek Som (UZS) unless otherwise stated, and reflect current market rates for Statistician professional services within the Tashkent metropolitan area as of the date of issuance.</w:t>
      </w:r>
    </w:p>
    <w:bookmarkEnd w:id="20"/>
    <w:bookmarkStart w:id="21" w:name="scope-of-statistician-services"/>
    <w:p>
      <w:pPr>
        <w:pStyle w:val="Heading2"/>
      </w:pPr>
      <w:r>
        <w:t xml:space="preserve">2. Scope of Statistician Services</w:t>
      </w:r>
    </w:p>
    <w:p>
      <w:pPr>
        <w:pStyle w:val="FirstParagraph"/>
      </w:pPr>
      <w:r>
        <w:t xml:space="preserve">The Statistician engagement under this Quotation Estimate encompasses the following deliverables and activities, all to be executed in Uzbekistan Tashkent:</w:t>
      </w:r>
    </w:p>
    <w:p>
      <w:pPr>
        <w:numPr>
          <w:ilvl w:val="0"/>
          <w:numId w:val="1001"/>
        </w:numPr>
        <w:pStyle w:val="Compact"/>
      </w:pPr>
      <w:r>
        <w:rPr>
          <w:bCs/>
          <w:b/>
        </w:rPr>
        <w:t xml:space="preserve">Phase 1 – Data Collection &amp; Audit (Weeks 1–3):</w:t>
      </w:r>
      <w:r>
        <w:t xml:space="preserve"> </w:t>
      </w:r>
      <w:r>
        <w:t xml:space="preserve">The assigned Statistician will conduct a full audit of existing demographic, epidemiological, and socioeconomic datasets held by the Tashkent Municipal Health Authority. This includes data cleansing, outlier detection, and standardization of records across all twelve administrative districts of Tashkent.</w:t>
      </w:r>
    </w:p>
    <w:p>
      <w:pPr>
        <w:numPr>
          <w:ilvl w:val="0"/>
          <w:numId w:val="1001"/>
        </w:numPr>
        <w:pStyle w:val="Compact"/>
      </w:pPr>
      <w:r>
        <w:rPr>
          <w:bCs/>
          <w:b/>
        </w:rPr>
        <w:t xml:space="preserve">Phase 2 – Statistical Modelling &amp; Analysis (Weeks 4–8):</w:t>
      </w:r>
      <w:r>
        <w:t xml:space="preserve"> </w:t>
      </w:r>
      <w:r>
        <w:t xml:space="preserve">The Statistician will develop and implement multivariate regression models, time-series forecasting frameworks, and Bayesian hierarchical models to project population health trends over a five-year horizon. All modelling will be calibrated to the specific demographic profile of Uzbekistan Tashkent.</w:t>
      </w:r>
    </w:p>
    <w:p>
      <w:pPr>
        <w:numPr>
          <w:ilvl w:val="0"/>
          <w:numId w:val="1001"/>
        </w:numPr>
        <w:pStyle w:val="Compact"/>
      </w:pPr>
      <w:r>
        <w:rPr>
          <w:bCs/>
          <w:b/>
        </w:rPr>
        <w:t xml:space="preserve">Phase 3 – Reporting &amp; Presentation (Weeks 9–10):</w:t>
      </w:r>
      <w:r>
        <w:t xml:space="preserve"> </w:t>
      </w:r>
      <w:r>
        <w:t xml:space="preserve">The Statistician will prepare a comprehensive 120-page statistical report, including visual dashboards, confidence interval analyses, and policy recommendations. A formal presentation will be delivered to the Tashkent Municipal Council.</w:t>
      </w:r>
    </w:p>
    <w:p>
      <w:pPr>
        <w:numPr>
          <w:ilvl w:val="0"/>
          <w:numId w:val="1001"/>
        </w:numPr>
        <w:pStyle w:val="Compact"/>
      </w:pPr>
      <w:r>
        <w:rPr>
          <w:bCs/>
          <w:b/>
        </w:rPr>
        <w:t xml:space="preserve">Phase 4 – Ongoing Advisory (Months 3–12):</w:t>
      </w:r>
      <w:r>
        <w:t xml:space="preserve"> </w:t>
      </w:r>
      <w:r>
        <w:t xml:space="preserve">The Statistician will provide monthly advisory sessions, answer analytical queries, and update models as new data becomes available throughout the engagement period in Uzbekistan Tashkent.</w:t>
      </w:r>
    </w:p>
    <w:bookmarkEnd w:id="21"/>
    <w:bookmarkStart w:id="22"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Statistician Service</w:t>
            </w:r>
          </w:p>
        </w:tc>
        <w:tc>
          <w:tcPr/>
          <w:p>
            <w:pPr>
              <w:pStyle w:val="Compact"/>
              <w:jc w:val="left"/>
            </w:pPr>
            <w:r>
              <w:t xml:space="preserve">Duration</w:t>
            </w:r>
          </w:p>
        </w:tc>
        <w:tc>
          <w:tcPr/>
          <w:p>
            <w:pPr>
              <w:pStyle w:val="Compact"/>
              <w:jc w:val="left"/>
            </w:pPr>
            <w:r>
              <w:t xml:space="preserve">Rate (UZS)</w:t>
            </w:r>
          </w:p>
        </w:tc>
        <w:tc>
          <w:tcPr/>
          <w:p>
            <w:pPr>
              <w:pStyle w:val="Compact"/>
              <w:jc w:val="left"/>
            </w:pPr>
            <w:r>
              <w:t xml:space="preserve">Total (UZS)</w:t>
            </w:r>
          </w:p>
        </w:tc>
        <w:tc>
          <w:tcPr/>
          <w:p>
            <w:pPr>
              <w:pStyle w:val="Compact"/>
              <w:jc w:val="left"/>
            </w:pPr>
            <w:r>
              <w:t xml:space="preserve">Location</w:t>
            </w:r>
          </w:p>
        </w:tc>
      </w:tr>
      <w:tr>
        <w:tc>
          <w:tcPr/>
          <w:p>
            <w:pPr>
              <w:pStyle w:val="Compact"/>
              <w:jc w:val="left"/>
            </w:pPr>
            <w:r>
              <w:t xml:space="preserve">01</w:t>
            </w:r>
          </w:p>
        </w:tc>
        <w:tc>
          <w:tcPr/>
          <w:p>
            <w:pPr>
              <w:pStyle w:val="Compact"/>
              <w:jc w:val="left"/>
            </w:pPr>
            <w:r>
              <w:t xml:space="preserve">Lead Statistician – Data Audit &amp; Collection</w:t>
            </w:r>
          </w:p>
        </w:tc>
        <w:tc>
          <w:tcPr/>
          <w:p>
            <w:pPr>
              <w:pStyle w:val="Compact"/>
              <w:jc w:val="left"/>
            </w:pPr>
            <w:r>
              <w:t xml:space="preserve">3 weeks</w:t>
            </w:r>
          </w:p>
        </w:tc>
        <w:tc>
          <w:tcPr/>
          <w:p>
            <w:pPr>
              <w:pStyle w:val="Compact"/>
              <w:jc w:val="left"/>
            </w:pPr>
            <w:r>
              <w:t xml:space="preserve">1,200,000 / day</w:t>
            </w:r>
          </w:p>
        </w:tc>
        <w:tc>
          <w:tcPr/>
          <w:p>
            <w:pPr>
              <w:pStyle w:val="Compact"/>
              <w:jc w:val="left"/>
            </w:pPr>
            <w:r>
              <w:t xml:space="preserve">18,000,000</w:t>
            </w:r>
          </w:p>
        </w:tc>
        <w:tc>
          <w:tcPr/>
          <w:p>
            <w:pPr>
              <w:pStyle w:val="Compact"/>
              <w:jc w:val="left"/>
            </w:pPr>
            <w:r>
              <w:t xml:space="preserve">Tashkent, Uzbekistan</w:t>
            </w:r>
          </w:p>
        </w:tc>
      </w:tr>
      <w:tr>
        <w:tc>
          <w:tcPr/>
          <w:p>
            <w:pPr>
              <w:pStyle w:val="Compact"/>
              <w:jc w:val="left"/>
            </w:pPr>
            <w:r>
              <w:t xml:space="preserve">02</w:t>
            </w:r>
          </w:p>
        </w:tc>
        <w:tc>
          <w:tcPr/>
          <w:p>
            <w:pPr>
              <w:pStyle w:val="Compact"/>
              <w:jc w:val="left"/>
            </w:pPr>
            <w:r>
              <w:t xml:space="preserve">Senior Statistician – Statistical Modelling</w:t>
            </w:r>
          </w:p>
        </w:tc>
        <w:tc>
          <w:tcPr/>
          <w:p>
            <w:pPr>
              <w:pStyle w:val="Compact"/>
              <w:jc w:val="left"/>
            </w:pPr>
            <w:r>
              <w:t xml:space="preserve">5 weeks</w:t>
            </w:r>
          </w:p>
        </w:tc>
        <w:tc>
          <w:tcPr/>
          <w:p>
            <w:pPr>
              <w:pStyle w:val="Compact"/>
              <w:jc w:val="left"/>
            </w:pPr>
            <w:r>
              <w:t xml:space="preserve">950,000 / day</w:t>
            </w:r>
          </w:p>
        </w:tc>
        <w:tc>
          <w:tcPr/>
          <w:p>
            <w:pPr>
              <w:pStyle w:val="Compact"/>
              <w:jc w:val="left"/>
            </w:pPr>
            <w:r>
              <w:t xml:space="preserve">38,000,000</w:t>
            </w:r>
          </w:p>
        </w:tc>
        <w:tc>
          <w:tcPr/>
          <w:p>
            <w:pPr>
              <w:pStyle w:val="Compact"/>
              <w:jc w:val="left"/>
            </w:pPr>
            <w:r>
              <w:t xml:space="preserve">Tashkent, Uzbekistan</w:t>
            </w:r>
          </w:p>
        </w:tc>
      </w:tr>
      <w:tr>
        <w:tc>
          <w:tcPr/>
          <w:p>
            <w:pPr>
              <w:pStyle w:val="Compact"/>
              <w:jc w:val="left"/>
            </w:pPr>
            <w:r>
              <w:t xml:space="preserve">03</w:t>
            </w:r>
          </w:p>
        </w:tc>
        <w:tc>
          <w:tcPr/>
          <w:p>
            <w:pPr>
              <w:pStyle w:val="Compact"/>
              <w:jc w:val="left"/>
            </w:pPr>
            <w:r>
              <w:t xml:space="preserve">Junior Statistician – Data Processing Support</w:t>
            </w:r>
          </w:p>
        </w:tc>
        <w:tc>
          <w:tcPr/>
          <w:p>
            <w:pPr>
              <w:pStyle w:val="Compact"/>
              <w:jc w:val="left"/>
            </w:pPr>
            <w:r>
              <w:t xml:space="preserve">8 weeks</w:t>
            </w:r>
          </w:p>
        </w:tc>
        <w:tc>
          <w:tcPr/>
          <w:p>
            <w:pPr>
              <w:pStyle w:val="Compact"/>
              <w:jc w:val="left"/>
            </w:pPr>
            <w:r>
              <w:t xml:space="preserve">550,000 / day</w:t>
            </w:r>
          </w:p>
        </w:tc>
        <w:tc>
          <w:tcPr/>
          <w:p>
            <w:pPr>
              <w:pStyle w:val="Compact"/>
              <w:jc w:val="left"/>
            </w:pPr>
            <w:r>
              <w:t xml:space="preserve">28,000,000</w:t>
            </w:r>
          </w:p>
        </w:tc>
        <w:tc>
          <w:tcPr/>
          <w:p>
            <w:pPr>
              <w:pStyle w:val="Compact"/>
              <w:jc w:val="left"/>
            </w:pPr>
            <w:r>
              <w:t xml:space="preserve">Tashkent, Uzbekistan</w:t>
            </w:r>
          </w:p>
        </w:tc>
      </w:tr>
      <w:tr>
        <w:tc>
          <w:tcPr/>
          <w:p>
            <w:pPr>
              <w:pStyle w:val="Compact"/>
              <w:jc w:val="left"/>
            </w:pPr>
            <w:r>
              <w:t xml:space="preserve">04</w:t>
            </w:r>
          </w:p>
        </w:tc>
        <w:tc>
          <w:tcPr/>
          <w:p>
            <w:pPr>
              <w:pStyle w:val="Compact"/>
              <w:jc w:val="left"/>
            </w:pPr>
            <w:r>
              <w:t xml:space="preserve">Statistician – Report Writing &amp; Visualization</w:t>
            </w:r>
          </w:p>
        </w:tc>
        <w:tc>
          <w:tcPr/>
          <w:p>
            <w:pPr>
              <w:pStyle w:val="Compact"/>
              <w:jc w:val="left"/>
            </w:pPr>
            <w:r>
              <w:t xml:space="preserve">2 weeks</w:t>
            </w:r>
          </w:p>
        </w:tc>
        <w:tc>
          <w:tcPr/>
          <w:p>
            <w:pPr>
              <w:pStyle w:val="Compact"/>
              <w:jc w:val="left"/>
            </w:pPr>
            <w:r>
              <w:t xml:space="preserve">1,100,000 / day</w:t>
            </w:r>
          </w:p>
        </w:tc>
        <w:tc>
          <w:tcPr/>
          <w:p>
            <w:pPr>
              <w:pStyle w:val="Compact"/>
              <w:jc w:val="left"/>
            </w:pPr>
            <w:r>
              <w:t xml:space="preserve">14,000,000</w:t>
            </w:r>
          </w:p>
        </w:tc>
        <w:tc>
          <w:tcPr/>
          <w:p>
            <w:pPr>
              <w:pStyle w:val="Compact"/>
              <w:jc w:val="left"/>
            </w:pPr>
            <w:r>
              <w:t xml:space="preserve">Tashkent, Uzbekistan</w:t>
            </w:r>
          </w:p>
        </w:tc>
      </w:tr>
      <w:tr>
        <w:tc>
          <w:tcPr/>
          <w:p>
            <w:pPr>
              <w:pStyle w:val="Compact"/>
              <w:jc w:val="left"/>
            </w:pPr>
            <w:r>
              <w:t xml:space="preserve">05</w:t>
            </w:r>
          </w:p>
        </w:tc>
        <w:tc>
          <w:tcPr/>
          <w:p>
            <w:pPr>
              <w:pStyle w:val="Compact"/>
              <w:jc w:val="left"/>
            </w:pPr>
            <w:r>
              <w:t xml:space="preserve">Statistician – Monthly Advisory Sessions (10 months)</w:t>
            </w:r>
          </w:p>
        </w:tc>
        <w:tc>
          <w:tcPr/>
          <w:p>
            <w:pPr>
              <w:pStyle w:val="Compact"/>
              <w:jc w:val="left"/>
            </w:pPr>
            <w:r>
              <w:t xml:space="preserve">10 months</w:t>
            </w:r>
          </w:p>
        </w:tc>
        <w:tc>
          <w:tcPr/>
          <w:p>
            <w:pPr>
              <w:pStyle w:val="Compact"/>
              <w:jc w:val="left"/>
            </w:pPr>
            <w:r>
              <w:t xml:space="preserve">3,500,000 / month</w:t>
            </w:r>
          </w:p>
        </w:tc>
        <w:tc>
          <w:tcPr/>
          <w:p>
            <w:pPr>
              <w:pStyle w:val="Compact"/>
              <w:jc w:val="left"/>
            </w:pPr>
            <w:r>
              <w:t xml:space="preserve">35,000,000</w:t>
            </w:r>
          </w:p>
        </w:tc>
        <w:tc>
          <w:tcPr/>
          <w:p>
            <w:pPr>
              <w:pStyle w:val="Compact"/>
              <w:jc w:val="left"/>
            </w:pPr>
            <w:r>
              <w:t xml:space="preserve">Tashkent, Uzbekistan</w:t>
            </w:r>
          </w:p>
        </w:tc>
      </w:tr>
      <w:tr>
        <w:tc>
          <w:tcPr/>
          <w:p>
            <w:pPr>
              <w:pStyle w:val="Compact"/>
              <w:jc w:val="left"/>
            </w:pPr>
            <w:r>
              <w:t xml:space="preserve">06</w:t>
            </w:r>
          </w:p>
        </w:tc>
        <w:tc>
          <w:tcPr/>
          <w:p>
            <w:pPr>
              <w:pStyle w:val="Compact"/>
              <w:jc w:val="left"/>
            </w:pPr>
            <w:r>
              <w:t xml:space="preserve">Software Licences (R, SPSS, Python, Tableau)</w:t>
            </w:r>
          </w:p>
        </w:tc>
        <w:tc>
          <w:tcPr/>
          <w:p>
            <w:pPr>
              <w:pStyle w:val="Compact"/>
              <w:jc w:val="left"/>
            </w:pPr>
            <w:r>
              <w:t xml:space="preserve">12 months</w:t>
            </w:r>
          </w:p>
        </w:tc>
        <w:tc>
          <w:tcPr/>
          <w:p>
            <w:pPr>
              <w:pStyle w:val="Compact"/>
              <w:jc w:val="left"/>
            </w:pPr>
            <w:r>
              <w:t xml:space="preserve">Flat fee</w:t>
            </w:r>
          </w:p>
        </w:tc>
        <w:tc>
          <w:tcPr/>
          <w:p>
            <w:pPr>
              <w:pStyle w:val="Compact"/>
              <w:jc w:val="left"/>
            </w:pPr>
            <w:r>
              <w:t xml:space="preserve">12,000,000</w:t>
            </w:r>
          </w:p>
        </w:tc>
        <w:tc>
          <w:tcPr/>
          <w:p>
            <w:pPr>
              <w:pStyle w:val="Compact"/>
              <w:jc w:val="left"/>
            </w:pPr>
            <w:r>
              <w:t xml:space="preserve">Uzbekistan Tashkent</w:t>
            </w:r>
          </w:p>
        </w:tc>
      </w:tr>
      <w:tr>
        <w:tc>
          <w:tcPr/>
          <w:p>
            <w:pPr>
              <w:pStyle w:val="Compact"/>
              <w:jc w:val="left"/>
            </w:pPr>
            <w:r>
              <w:t xml:space="preserve">07</w:t>
            </w:r>
          </w:p>
        </w:tc>
        <w:tc>
          <w:tcPr/>
          <w:p>
            <w:pPr>
              <w:pStyle w:val="Compact"/>
              <w:jc w:val="left"/>
            </w:pPr>
            <w:r>
              <w:t xml:space="preserve">Travel &amp; Local Transport within Tashkent</w:t>
            </w:r>
          </w:p>
        </w:tc>
        <w:tc>
          <w:tcPr/>
          <w:p>
            <w:pPr>
              <w:pStyle w:val="Compact"/>
              <w:jc w:val="left"/>
            </w:pPr>
            <w:r>
              <w:t xml:space="preserve">12 months</w:t>
            </w:r>
          </w:p>
        </w:tc>
        <w:tc>
          <w:tcPr/>
          <w:p>
            <w:pPr>
              <w:pStyle w:val="Compact"/>
              <w:jc w:val="left"/>
            </w:pPr>
            <w:r>
              <w:t xml:space="preserve">Flat fee</w:t>
            </w:r>
          </w:p>
        </w:tc>
        <w:tc>
          <w:tcPr/>
          <w:p>
            <w:pPr>
              <w:pStyle w:val="Compact"/>
              <w:jc w:val="left"/>
            </w:pPr>
            <w:r>
              <w:t xml:space="preserve">8,000,000</w:t>
            </w:r>
          </w:p>
        </w:tc>
        <w:tc>
          <w:tcPr/>
          <w:p>
            <w:pPr>
              <w:pStyle w:val="Compact"/>
              <w:jc w:val="left"/>
            </w:pPr>
            <w:r>
              <w:t xml:space="preserve">Uzbekistan Tashkent</w:t>
            </w:r>
          </w:p>
        </w:tc>
      </w:tr>
      <w:tr>
        <w:tc>
          <w:tcPr/>
          <w:p>
            <w:pPr>
              <w:pStyle w:val="Compact"/>
              <w:jc w:val="left"/>
            </w:pPr>
            <w:r>
              <w:t xml:space="preserve">08</w:t>
            </w:r>
          </w:p>
        </w:tc>
        <w:tc>
          <w:tcPr/>
          <w:p>
            <w:pPr>
              <w:pStyle w:val="Compact"/>
              <w:jc w:val="left"/>
            </w:pPr>
            <w:r>
              <w:t xml:space="preserve">Project Management &amp; Coordination</w:t>
            </w:r>
          </w:p>
        </w:tc>
        <w:tc>
          <w:tcPr/>
          <w:p>
            <w:pPr>
              <w:pStyle w:val="Compact"/>
              <w:jc w:val="left"/>
            </w:pPr>
            <w:r>
              <w:t xml:space="preserve">12 months</w:t>
            </w:r>
          </w:p>
        </w:tc>
        <w:tc>
          <w:tcPr/>
          <w:p>
            <w:pPr>
              <w:pStyle w:val="Compact"/>
              <w:jc w:val="left"/>
            </w:pPr>
            <w:r>
              <w:t xml:space="preserve">Flat fee</w:t>
            </w:r>
          </w:p>
        </w:tc>
        <w:tc>
          <w:tcPr/>
          <w:p>
            <w:pPr>
              <w:pStyle w:val="Compact"/>
              <w:jc w:val="left"/>
            </w:pPr>
            <w:r>
              <w:t xml:space="preserve">15,000,000</w:t>
            </w:r>
          </w:p>
        </w:tc>
        <w:tc>
          <w:tcPr/>
          <w:p>
            <w:pPr>
              <w:pStyle w:val="Compact"/>
              <w:jc w:val="left"/>
            </w:pPr>
            <w:r>
              <w:t xml:space="preserve">Tashkent, Uzbekistan</w:t>
            </w:r>
          </w:p>
        </w:tc>
      </w:tr>
      <w:tr>
        <w:tc>
          <w:tcPr>
            <w:gridSpan w:val="4"/>
          </w:tcPr>
          <w:p>
            <w:pPr>
              <w:pStyle w:val="Compact"/>
              <w:jc w:val="left"/>
            </w:pPr>
            <w:r>
              <w:rPr>
                <w:bCs/>
                <w:b/>
              </w:rPr>
              <w:t xml:space="preserve">Subtotal (UZS)</w:t>
            </w:r>
          </w:p>
        </w:tc>
        <w:tc>
          <w:tcPr/>
          <w:p>
            <w:pPr>
              <w:pStyle w:val="Compact"/>
              <w:jc w:val="left"/>
            </w:pPr>
            <w:r>
              <w:rPr>
                <w:bCs/>
                <w:b/>
              </w:rPr>
              <w:t xml:space="preserve">168,000,000</w:t>
            </w:r>
          </w:p>
        </w:tc>
        <w:tc>
          <w:tcPr/>
          <w:p>
            <w:pPr>
              <w:pStyle w:val="Compact"/>
            </w:pPr>
          </w:p>
        </w:tc>
      </w:tr>
      <w:tr>
        <w:tc>
          <w:tcPr>
            <w:gridSpan w:val="4"/>
          </w:tcPr>
          <w:p>
            <w:pPr>
              <w:pStyle w:val="Compact"/>
              <w:jc w:val="left"/>
            </w:pPr>
            <w:r>
              <w:rPr>
                <w:bCs/>
                <w:b/>
              </w:rPr>
              <w:t xml:space="preserve">VAT (12% – Uzbekistan Standard Rate)</w:t>
            </w:r>
          </w:p>
        </w:tc>
        <w:tc>
          <w:tcPr/>
          <w:p>
            <w:pPr>
              <w:pStyle w:val="Compact"/>
              <w:jc w:val="left"/>
            </w:pPr>
            <w:r>
              <w:rPr>
                <w:bCs/>
                <w:b/>
              </w:rPr>
              <w:t xml:space="preserve">20,160,000</w:t>
            </w:r>
          </w:p>
        </w:tc>
        <w:tc>
          <w:tcPr/>
          <w:p>
            <w:pPr>
              <w:pStyle w:val="Compact"/>
            </w:pPr>
          </w:p>
        </w:tc>
      </w:tr>
      <w:tr>
        <w:tc>
          <w:tcPr>
            <w:gridSpan w:val="4"/>
          </w:tcPr>
          <w:p>
            <w:pPr>
              <w:pStyle w:val="Compact"/>
              <w:jc w:val="left"/>
            </w:pPr>
            <w:r>
              <w:rPr>
                <w:bCs/>
                <w:b/>
              </w:rPr>
              <w:t xml:space="preserve">GRAND TOTAL (UZS)</w:t>
            </w:r>
          </w:p>
        </w:tc>
        <w:tc>
          <w:tcPr/>
          <w:p>
            <w:pPr>
              <w:pStyle w:val="Compact"/>
              <w:jc w:val="left"/>
            </w:pPr>
            <w:r>
              <w:rPr>
                <w:bCs/>
                <w:b/>
              </w:rPr>
              <w:t xml:space="preserve">188,160,000</w:t>
            </w:r>
          </w:p>
        </w:tc>
        <w:tc>
          <w:tcPr/>
          <w:p>
            <w:pPr>
              <w:pStyle w:val="Compact"/>
            </w:pPr>
          </w:p>
        </w:tc>
      </w:tr>
      <w:tr>
        <w:tc>
          <w:tcPr>
            <w:gridSpan w:val="4"/>
          </w:tcPr>
          <w:p>
            <w:pPr>
              <w:pStyle w:val="Compact"/>
              <w:jc w:val="left"/>
            </w:pPr>
            <w:r>
              <w:rPr>
                <w:bCs/>
                <w:b/>
              </w:rPr>
              <w:t xml:space="preserve">GRAND TOTAL (USD – approx. at 12,900 UZS/USD)</w:t>
            </w:r>
          </w:p>
        </w:tc>
        <w:tc>
          <w:tcPr/>
          <w:p>
            <w:pPr>
              <w:pStyle w:val="Compact"/>
              <w:jc w:val="left"/>
            </w:pPr>
            <w:r>
              <w:rPr>
                <w:bCs/>
                <w:b/>
              </w:rPr>
              <w:t xml:space="preserve">≈ 14,586 USD</w:t>
            </w:r>
          </w:p>
        </w:tc>
        <w:tc>
          <w:tcPr/>
          <w:p>
            <w:pPr>
              <w:pStyle w:val="Compact"/>
            </w:pPr>
          </w:p>
        </w:tc>
      </w:tr>
    </w:tbl>
    <w:bookmarkEnd w:id="22"/>
    <w:bookmarkStart w:id="23" w:name="X985eb999f0cfcda5f1af1a675bf0b7c2e0a6c64"/>
    <w:p>
      <w:pPr>
        <w:pStyle w:val="Heading2"/>
      </w:pPr>
      <w:r>
        <w:t xml:space="preserve">4. Terms and Conditions of This Quotation Estimate</w:t>
      </w:r>
    </w:p>
    <w:p>
      <w:pPr>
        <w:numPr>
          <w:ilvl w:val="0"/>
          <w:numId w:val="1002"/>
        </w:numPr>
        <w:pStyle w:val="Compact"/>
      </w:pPr>
      <w:r>
        <w:t xml:space="preserve">This Quotation Estimate is valid for thirty (30) calendar days from the date of issuance. After the expiry date, rates for Statistician services in Uzbekistan Tashkent may be subject to revision based on market conditions.</w:t>
      </w:r>
    </w:p>
    <w:p>
      <w:pPr>
        <w:numPr>
          <w:ilvl w:val="0"/>
          <w:numId w:val="1002"/>
        </w:numPr>
        <w:pStyle w:val="Compact"/>
      </w:pPr>
      <w:r>
        <w:t xml:space="preserve">Payment terms: 30% advance upon contract signing, 40% upon completion of Phase 2 (Statistical Modelling), and 30% upon final delivery of the report and completion of Phase 4 advisory period.</w:t>
      </w:r>
    </w:p>
    <w:p>
      <w:pPr>
        <w:numPr>
          <w:ilvl w:val="0"/>
          <w:numId w:val="1002"/>
        </w:numPr>
        <w:pStyle w:val="Compact"/>
      </w:pPr>
      <w:r>
        <w:t xml:space="preserve">All Statistician personnel engaged under this Quotation Estimate shall comply with the data protection regulations of the Republic of Uzbekistan, including the Law on Personal Data Protection (2019) and relevant Tashkent municipal data governance policies.</w:t>
      </w:r>
    </w:p>
    <w:p>
      <w:pPr>
        <w:numPr>
          <w:ilvl w:val="0"/>
          <w:numId w:val="1002"/>
        </w:numPr>
        <w:pStyle w:val="Compact"/>
      </w:pPr>
      <w:r>
        <w:t xml:space="preserve">The Statistician and the project team shall maintain strict confidentiality of all client data. A Non-Disclosure Agreement (NDA) must be executed prior to the commencement of any data access in Uzbekistan Tashkent.</w:t>
      </w:r>
    </w:p>
    <w:p>
      <w:pPr>
        <w:numPr>
          <w:ilvl w:val="0"/>
          <w:numId w:val="1002"/>
        </w:numPr>
        <w:pStyle w:val="Compact"/>
      </w:pPr>
      <w:r>
        <w:t xml:space="preserve">Any scope changes beyond the deliverables outlined in Section 2 will require a written amendment to this Quotation Estimate, signed by both parties, before additional work commences.</w:t>
      </w:r>
    </w:p>
    <w:p>
      <w:pPr>
        <w:numPr>
          <w:ilvl w:val="0"/>
          <w:numId w:val="1002"/>
        </w:numPr>
        <w:pStyle w:val="Compact"/>
      </w:pPr>
      <w:r>
        <w:t xml:space="preserve">Force majeure events, including but not limited to natural disasters, government-mandated closures, or public health emergencies affecting Tashkent, shall suspend the project timeline without penalty to either party.</w:t>
      </w:r>
    </w:p>
    <w:p>
      <w:pPr>
        <w:numPr>
          <w:ilvl w:val="0"/>
          <w:numId w:val="1002"/>
        </w:numPr>
        <w:pStyle w:val="Compact"/>
      </w:pPr>
      <w:r>
        <w:t xml:space="preserve">Disputes arising from this Quotation Estimate or the resulting contract shall be resolved through arbitration in Tashkent, Uzbekistan, in accordance with the rules of the Tashkent Arbitration Centre.</w:t>
      </w:r>
    </w:p>
    <w:bookmarkEnd w:id="23"/>
    <w:bookmarkStart w:id="24" w:name="acceptance-and-authorization"/>
    <w:p>
      <w:pPr>
        <w:pStyle w:val="Heading2"/>
      </w:pPr>
      <w:r>
        <w:t xml:space="preserve">5. Acceptance and Authorization</w:t>
      </w:r>
    </w:p>
    <w:p>
      <w:pPr>
        <w:pStyle w:val="FirstParagraph"/>
      </w:pPr>
      <w:r>
        <w:t xml:space="preserve">By signing below, the client acknowledges receipt of this Quotation Estimate for Statistician services in Uzbekistan Tashkent and agrees to the terms, conditions, and pricing outlined herein. This signature constitutes formal acceptance and authorizes Central Asia Data Analytics LLC to proceed with resource allocation and project scheduling.</w:t>
      </w:r>
    </w:p>
    <w:p>
      <w:pPr>
        <w:pStyle w:val="BodyText"/>
      </w:pPr>
      <w:r>
        <w:rPr>
          <w:bCs/>
          <w:b/>
        </w:rPr>
        <w:t xml:space="preserve">For and on behalf of the Provider:</w:t>
      </w:r>
    </w:p>
    <w:p>
      <w:pPr>
        <w:pStyle w:val="BodyText"/>
      </w:pPr>
      <w:r>
        <w:t xml:space="preserve">Central Asia Data Analytics LLC</w:t>
      </w:r>
    </w:p>
    <w:p>
      <w:pPr>
        <w:pStyle w:val="BodyText"/>
      </w:pPr>
      <w:r>
        <w:t xml:space="preserve">Dr. Alisher Karimov</w:t>
      </w:r>
      <w:r>
        <w:br/>
      </w:r>
      <w:r>
        <w:t xml:space="preserve">Lead Statistician &amp; Director</w:t>
      </w:r>
    </w:p>
    <w:p>
      <w:pPr>
        <w:pStyle w:val="BodyText"/>
      </w:pPr>
      <w:r>
        <w:t xml:space="preserve">Date: _______________</w:t>
      </w:r>
    </w:p>
    <w:p>
      <w:pPr>
        <w:pStyle w:val="BodyText"/>
      </w:pPr>
      <w:r>
        <w:rPr>
          <w:bCs/>
          <w:b/>
        </w:rPr>
        <w:t xml:space="preserve">For and on behalf of the Client:</w:t>
      </w:r>
    </w:p>
    <w:p>
      <w:pPr>
        <w:pStyle w:val="BodyText"/>
      </w:pPr>
      <w:r>
        <w:t xml:space="preserve">Tashkent Municipal Health Authority</w:t>
      </w:r>
    </w:p>
    <w:p>
      <w:pPr>
        <w:pStyle w:val="BodyText"/>
      </w:pPr>
      <w:r>
        <w:t xml:space="preserve">Authorized Representative</w:t>
      </w:r>
      <w:r>
        <w:br/>
      </w:r>
      <w:r>
        <w:t xml:space="preserve">Name: _______________</w:t>
      </w:r>
    </w:p>
    <w:p>
      <w:pPr>
        <w:pStyle w:val="BodyText"/>
      </w:pPr>
      <w:r>
        <w:t xml:space="preserve">Date: _______________</w:t>
      </w:r>
    </w:p>
    <w:p>
      <w:pPr>
        <w:pStyle w:val="BodyText"/>
      </w:pPr>
      <w:r>
        <w:rPr>
          <w:bCs/>
          <w:b/>
        </w:rPr>
        <w:t xml:space="preserve">Document Reference:</w:t>
      </w:r>
      <w:r>
        <w:t xml:space="preserve"> </w:t>
      </w:r>
      <w:r>
        <w:t xml:space="preserve">QE-2025-TSK-0487 |</w:t>
      </w:r>
      <w:r>
        <w:t xml:space="preserve"> </w:t>
      </w:r>
      <w:r>
        <w:rPr>
          <w:bCs/>
          <w:b/>
        </w:rPr>
        <w:t xml:space="preserve">Classification:</w:t>
      </w:r>
      <w:r>
        <w:t xml:space="preserve"> </w:t>
      </w:r>
      <w:r>
        <w:t xml:space="preserve">Commercial in Confidence</w:t>
      </w:r>
    </w:p>
    <w:p>
      <w:pPr>
        <w:pStyle w:val="BodyText"/>
      </w:pPr>
      <w:r>
        <w:t xml:space="preserve">This Quotation Estimate was prepared specifically for the engagement of Statistician professional services in Uzbekistan Tashkent. It is not a binding contract until countersigned by both parties. All intellectual property in deliverables shall transfer to the client upon full payment. © 2025 Central Asia Data Analytics LLC, Tashkent, Uzbekistan.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Uzbekistan Tashkent</dc:title>
  <dc:creator/>
  <dc:language>en</dc:language>
  <cp:keywords/>
  <dcterms:created xsi:type="dcterms:W3CDTF">2026-10-10T02:35:35Z</dcterms:created>
  <dcterms:modified xsi:type="dcterms:W3CDTF">2026-10-10T02:35:35Z</dcterms:modified>
</cp:coreProperties>
</file>

<file path=docProps/custom.xml><?xml version="1.0" encoding="utf-8"?>
<Properties xmlns="http://schemas.openxmlformats.org/officeDocument/2006/custom-properties" xmlns:vt="http://schemas.openxmlformats.org/officeDocument/2006/docPropsVTypes"/>
</file>