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Medical Services Group</w:t>
      </w:r>
    </w:p>
    <w:p>
      <w:pPr>
        <w:pStyle w:val="BodyText"/>
      </w:pPr>
      <w:r>
        <w:t xml:space="preserve">12 Corniche El-Nil Street, Alexandria, Egypt 21543</w:t>
      </w:r>
    </w:p>
    <w:p>
      <w:pPr>
        <w:pStyle w:val="BodyText"/>
      </w:pPr>
      <w:r>
        <w:t xml:space="preserve">Tel: +20 3 482 5567 | Email: quotes@alexmedservices.eg</w:t>
      </w:r>
    </w:p>
    <w:p>
      <w:pPr>
        <w:pStyle w:val="BodyText"/>
      </w:pPr>
      <w:r>
        <w:t xml:space="preserve">Commercial Registration No: 104582 | Tax ID: 552-883-124</w:t>
      </w:r>
    </w:p>
    <w:bookmarkEnd w:id="20"/>
    <w:p>
      <w:pPr>
        <w:pStyle w:val="BodyText"/>
      </w:pPr>
      <w:r>
        <w:rPr>
          <w:bCs/>
          <w:b/>
        </w:rPr>
        <w:t xml:space="preserve">Quotation No:</w:t>
      </w:r>
      <w:r>
        <w:t xml:space="preserve"> </w:t>
      </w:r>
      <w:r>
        <w:t xml:space="preserve">QTE-2025-ALX-0472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Dr. Hassan El-Masry, MD, FACS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Alexandria Medical Services Group to provide a comprehensive and transparent breakdown of all costs associated with the engagement of a</w:t>
      </w:r>
      <w:r>
        <w:t xml:space="preserve"> </w:t>
      </w:r>
      <w:r>
        <w:t xml:space="preserve">Surgeon</w:t>
      </w:r>
      <w:r>
        <w:t xml:space="preserve"> </w:t>
      </w:r>
      <w:r>
        <w:t xml:space="preserve">for specialized surgical procedures to be performed at our facilities in</w:t>
      </w:r>
      <w:r>
        <w:t xml:space="preserve"> </w:t>
      </w:r>
      <w:r>
        <w:t xml:space="preserve">Egypt Alexandria</w:t>
      </w:r>
      <w:r>
        <w:t xml:space="preserve">. This document serves as a binding financial proposal and outlines the full scope of services, professional fees, facility charges, and ancillary costs that the client will incur. All pricing in this</w:t>
      </w:r>
      <w:r>
        <w:t xml:space="preserve"> </w:t>
      </w:r>
      <w:r>
        <w:t xml:space="preserve">Quotation Estimate</w:t>
      </w:r>
      <w:r>
        <w:t xml:space="preserve"> </w:t>
      </w:r>
      <w:r>
        <w:t xml:space="preserve">is based on current market rates in</w:t>
      </w:r>
      <w:r>
        <w:t xml:space="preserve"> </w:t>
      </w:r>
      <w:r>
        <w:t xml:space="preserve">Egypt Alexandria</w:t>
      </w:r>
      <w:r>
        <w:t xml:space="preserve"> </w:t>
      </w:r>
      <w:r>
        <w:t xml:space="preserve">as of the date of issuance and is subject to the terms and conditions stated herein.</w:t>
      </w:r>
    </w:p>
    <w:bookmarkEnd w:id="21"/>
    <w:bookmarkStart w:id="22" w:name="scope-of-services-surgeon-engagement"/>
    <w:p>
      <w:pPr>
        <w:pStyle w:val="Heading2"/>
      </w:pPr>
      <w:r>
        <w:t xml:space="preserve">2. Scope of Services – Surgeon Engagement</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will provide full surgical care including pre-operative consultation, intra-operative surgical execution, and post-operative follow-up. The</w:t>
      </w:r>
      <w:r>
        <w:t xml:space="preserve"> </w:t>
      </w:r>
      <w:r>
        <w:t xml:space="preserve">Surgeon</w:t>
      </w:r>
      <w:r>
        <w:t xml:space="preserve"> </w:t>
      </w:r>
      <w:r>
        <w:t xml:space="preserve">is a board-certified specialist registered with the Egyptian Medical Syndicate, Alexandria Branch, and holds valid malpractice insurance coverage. The surgical procedures will be conducted at our fully accredited operating theatre located in the central district of</w:t>
      </w:r>
      <w:r>
        <w:t xml:space="preserve"> </w:t>
      </w:r>
      <w:r>
        <w:t xml:space="preserve">Egypt Alexandria</w:t>
      </w:r>
      <w:r>
        <w:t xml:space="preserve">, equipped with state-of-the-art surgical technology and a dedicated anaesthesiology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Surgeon Professional Fee – Primary Surgical Procedure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Surgeon Pre-Operative Consultation &amp; Assessment</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03</w:t>
            </w:r>
          </w:p>
        </w:tc>
        <w:tc>
          <w:tcPr/>
          <w:p>
            <w:pPr>
              <w:pStyle w:val="Compact"/>
              <w:jc w:val="left"/>
            </w:pPr>
            <w:r>
              <w:t xml:space="preserve">Surgeon Post-Operative Follow-Up Visits (Week 1, 2, 6)</w:t>
            </w:r>
          </w:p>
        </w:tc>
        <w:tc>
          <w:tcPr/>
          <w:p>
            <w:pPr>
              <w:pStyle w:val="Compact"/>
              <w:jc w:val="left"/>
            </w:pPr>
            <w:r>
              <w:t xml:space="preserve">3</w:t>
            </w:r>
          </w:p>
        </w:tc>
        <w:tc>
          <w:tcPr/>
          <w:p>
            <w:pPr>
              <w:pStyle w:val="Compact"/>
              <w:jc w:val="left"/>
            </w:pPr>
            <w:r>
              <w:t xml:space="preserve">1,800</w:t>
            </w:r>
          </w:p>
        </w:tc>
        <w:tc>
          <w:tcPr/>
          <w:p>
            <w:pPr>
              <w:pStyle w:val="Compact"/>
              <w:jc w:val="left"/>
            </w:pPr>
            <w:r>
              <w:t xml:space="preserve">5,400</w:t>
            </w:r>
          </w:p>
        </w:tc>
      </w:tr>
      <w:tr>
        <w:tc>
          <w:tcPr/>
          <w:p>
            <w:pPr>
              <w:pStyle w:val="Compact"/>
              <w:jc w:val="left"/>
            </w:pPr>
            <w:r>
              <w:t xml:space="preserve">04</w:t>
            </w:r>
          </w:p>
        </w:tc>
        <w:tc>
          <w:tcPr/>
          <w:p>
            <w:pPr>
              <w:pStyle w:val="Compact"/>
              <w:jc w:val="left"/>
            </w:pPr>
            <w:r>
              <w:t xml:space="preserve">Operating Theatre Facility Fee – Alexandria, Egypt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Anaesthesiologist &amp; Nursing Team (4-hour block)</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Surgical Consumables, Implants &amp; Sterile Supplies</w:t>
            </w:r>
          </w:p>
        </w:tc>
        <w:tc>
          <w:tcPr/>
          <w:p>
            <w:pPr>
              <w:pStyle w:val="Compact"/>
              <w:jc w:val="left"/>
            </w:pPr>
            <w:r>
              <w:t xml:space="preserve">1</w:t>
            </w:r>
          </w:p>
        </w:tc>
        <w:tc>
          <w:tcPr/>
          <w:p>
            <w:pPr>
              <w:pStyle w:val="Compact"/>
              <w:jc w:val="left"/>
            </w:pPr>
            <w:r>
              <w:t xml:space="preserve">27,000</w:t>
            </w:r>
          </w:p>
        </w:tc>
        <w:tc>
          <w:tcPr/>
          <w:p>
            <w:pPr>
              <w:pStyle w:val="Compact"/>
              <w:jc w:val="left"/>
            </w:pPr>
            <w:r>
              <w:t xml:space="preserve">27,000</w:t>
            </w:r>
          </w:p>
        </w:tc>
      </w:tr>
      <w:tr>
        <w:tc>
          <w:tcPr/>
          <w:p>
            <w:pPr>
              <w:pStyle w:val="Compact"/>
              <w:jc w:val="left"/>
            </w:pPr>
            <w:r>
              <w:t xml:space="preserve">07</w:t>
            </w:r>
          </w:p>
        </w:tc>
        <w:tc>
          <w:tcPr/>
          <w:p>
            <w:pPr>
              <w:pStyle w:val="Compact"/>
              <w:jc w:val="left"/>
            </w:pPr>
            <w:r>
              <w:t xml:space="preserve">Inpatient Recovery Room – 24-Hour Post-Op Monitoring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Laboratory Work, Imaging &amp; Pre-Surgical Diagnostics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09</w:t>
            </w:r>
          </w:p>
        </w:tc>
        <w:tc>
          <w:tcPr/>
          <w:p>
            <w:pPr>
              <w:pStyle w:val="Compact"/>
              <w:jc w:val="left"/>
            </w:pPr>
            <w:r>
              <w:t xml:space="preserve">Emergency Surgeon On-Call Standby (48-hour window)</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10</w:t>
            </w:r>
          </w:p>
        </w:tc>
        <w:tc>
          <w:tcPr/>
          <w:p>
            <w:pPr>
              <w:pStyle w:val="Compact"/>
              <w:jc w:val="left"/>
            </w:pPr>
            <w:r>
              <w:t xml:space="preserve">Medical Records, Discharge Summary &amp; Certification</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gridSpan w:val="4"/>
          </w:tcPr>
          <w:p>
            <w:pPr>
              <w:pStyle w:val="Compact"/>
              <w:jc w:val="left"/>
            </w:pPr>
            <w:r>
              <w:t xml:space="preserve">Subtotal</w:t>
            </w:r>
          </w:p>
        </w:tc>
        <w:tc>
          <w:tcPr/>
          <w:p>
            <w:pPr>
              <w:pStyle w:val="Compact"/>
              <w:jc w:val="left"/>
            </w:pPr>
            <w:r>
              <w:t xml:space="preserve">160,600</w:t>
            </w:r>
          </w:p>
        </w:tc>
      </w:tr>
      <w:tr>
        <w:tc>
          <w:tcPr>
            <w:gridSpan w:val="4"/>
          </w:tcPr>
          <w:p>
            <w:pPr>
              <w:pStyle w:val="Compact"/>
              <w:jc w:val="left"/>
            </w:pPr>
            <w:r>
              <w:t xml:space="preserve">VAT (14% – Egyptian Tax Authority)</w:t>
            </w:r>
          </w:p>
        </w:tc>
        <w:tc>
          <w:tcPr/>
          <w:p>
            <w:pPr>
              <w:pStyle w:val="Compact"/>
              <w:jc w:val="left"/>
            </w:pPr>
            <w:r>
              <w:t xml:space="preserve">22,484</w:t>
            </w:r>
          </w:p>
        </w:tc>
      </w:tr>
      <w:tr>
        <w:tc>
          <w:tcPr>
            <w:gridSpan w:val="4"/>
          </w:tcPr>
          <w:p>
            <w:pPr>
              <w:pStyle w:val="Compact"/>
              <w:jc w:val="left"/>
            </w:pPr>
            <w:r>
              <w:rPr>
                <w:bCs/>
                <w:b/>
              </w:rPr>
              <w:t xml:space="preserve">GRAND TOTAL (EGP)</w:t>
            </w:r>
          </w:p>
        </w:tc>
        <w:tc>
          <w:tcPr/>
          <w:p>
            <w:pPr>
              <w:pStyle w:val="Compact"/>
              <w:jc w:val="left"/>
            </w:pPr>
            <w:r>
              <w:rPr>
                <w:bCs/>
                <w:b/>
              </w:rPr>
              <w:t xml:space="preserve">183,084</w:t>
            </w:r>
          </w:p>
        </w:tc>
      </w:tr>
    </w:tbl>
    <w:bookmarkEnd w:id="23"/>
    <w:bookmarkStart w:id="24" w:name="surgeon-qualifications-credentials"/>
    <w:p>
      <w:pPr>
        <w:pStyle w:val="Heading2"/>
      </w:pPr>
      <w:r>
        <w:t xml:space="preserve">4. Surgeon Qualifications &amp; Credentials</w:t>
      </w:r>
    </w:p>
    <w:p>
      <w:pPr>
        <w:pStyle w:val="FirstParagraph"/>
      </w:pPr>
      <w:r>
        <w:t xml:space="preserve">The</w:t>
      </w:r>
      <w:r>
        <w:t xml:space="preserve"> </w:t>
      </w:r>
      <w:r>
        <w:t xml:space="preserve">Surgeon</w:t>
      </w:r>
      <w:r>
        <w:t xml:space="preserve"> </w:t>
      </w:r>
      <w:r>
        <w:t xml:space="preserve">referenced in this</w:t>
      </w:r>
      <w:r>
        <w:t xml:space="preserve"> </w:t>
      </w:r>
      <w:r>
        <w:t xml:space="preserve">Quotation Estimate</w:t>
      </w:r>
      <w:r>
        <w:t xml:space="preserve"> </w:t>
      </w:r>
      <w:r>
        <w:t xml:space="preserve">holds a Doctorate of Medicine (MD) from Alexandria University Faculty of Medicine, a Fellowship in Advanced Surgical Techniques (FACS), and over fifteen years of clinical practice in</w:t>
      </w:r>
      <w:r>
        <w:t xml:space="preserve"> </w:t>
      </w:r>
      <w:r>
        <w:t xml:space="preserve">Egypt Alexandria</w:t>
      </w:r>
      <w:r>
        <w:t xml:space="preserve">. The</w:t>
      </w:r>
      <w:r>
        <w:t xml:space="preserve"> </w:t>
      </w:r>
      <w:r>
        <w:t xml:space="preserve">Surgeon</w:t>
      </w:r>
      <w:r>
        <w:t xml:space="preserve"> </w:t>
      </w:r>
      <w:r>
        <w:t xml:space="preserve">is a member in good standing of the Egyptian Surgical Society and the Alexandria Medical Syndicate. All credentials, licenses, and insurance certificates are available for verification upon request prior to the execution of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expiry date, all prices are subject to revision based on prevailing rates in</w:t>
      </w:r>
      <w:r>
        <w:t xml:space="preserve"> </w:t>
      </w:r>
      <w:r>
        <w:t xml:space="preserve">Egypt Alexandria</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the remaining 50% is due within seven (7) business days following the completion of the surgical procedure.</w:t>
      </w:r>
    </w:p>
    <w:p>
      <w:pPr>
        <w:numPr>
          <w:ilvl w:val="0"/>
          <w:numId w:val="1001"/>
        </w:numPr>
        <w:pStyle w:val="Compact"/>
      </w:pPr>
      <w:r>
        <w:t xml:space="preserve">The</w:t>
      </w:r>
      <w:r>
        <w:t xml:space="preserve"> </w:t>
      </w:r>
      <w:r>
        <w:t xml:space="preserve">Surgeon</w:t>
      </w:r>
      <w:r>
        <w:t xml:space="preserve"> </w:t>
      </w:r>
      <w:r>
        <w:t xml:space="preserve">reserves the right to reschedule the procedure up to 48 hours in advance due to medical necessity, with full refund of any advance payment if the cancellation is initiated by the facility.</w:t>
      </w:r>
    </w:p>
    <w:p>
      <w:pPr>
        <w:numPr>
          <w:ilvl w:val="0"/>
          <w:numId w:val="1001"/>
        </w:numPr>
        <w:pStyle w:val="Compact"/>
      </w:pPr>
      <w:r>
        <w:t xml:space="preserve">All surgical procedures will comply with the regulations set forth by the Egyptian Ministry of Health and the Alexandria Health Directorate.</w:t>
      </w:r>
    </w:p>
    <w:p>
      <w:pPr>
        <w:numPr>
          <w:ilvl w:val="0"/>
          <w:numId w:val="1001"/>
        </w:numPr>
        <w:pStyle w:val="Compact"/>
      </w:pPr>
      <w:r>
        <w:t xml:space="preserve">Any additional procedures deemed necessary intra-operatively by the</w:t>
      </w:r>
      <w:r>
        <w:t xml:space="preserve"> </w:t>
      </w:r>
      <w:r>
        <w:t xml:space="preserve">Surgeon</w:t>
      </w:r>
      <w:r>
        <w:t xml:space="preserve"> </w:t>
      </w:r>
      <w:r>
        <w:t xml:space="preserve">will be communicated to the patient or authorized representative prior to execution, and a supplementary</w:t>
      </w:r>
      <w:r>
        <w:t xml:space="preserve"> </w:t>
      </w:r>
      <w:r>
        <w:t xml:space="preserve">Quotation Estimate</w:t>
      </w:r>
      <w:r>
        <w:t xml:space="preserve"> </w:t>
      </w:r>
      <w:r>
        <w:t xml:space="preserve">will be issued for approval.</w:t>
      </w:r>
    </w:p>
    <w:p>
      <w:pPr>
        <w:numPr>
          <w:ilvl w:val="0"/>
          <w:numId w:val="1001"/>
        </w:numPr>
        <w:pStyle w:val="Compact"/>
      </w:pPr>
      <w:r>
        <w:t xml:space="preserve">This</w:t>
      </w:r>
      <w:r>
        <w:t xml:space="preserve"> </w:t>
      </w:r>
      <w:r>
        <w:t xml:space="preserve">Quotation Estimate</w:t>
      </w:r>
      <w:r>
        <w:t xml:space="preserve"> </w:t>
      </w:r>
      <w:r>
        <w:t xml:space="preserve">does not include costs for extended hospitalization beyond the 24-hour recovery period, physiotherapy, or specialist referrals unless explicitly stated.</w:t>
      </w:r>
    </w:p>
    <w:p>
      <w:pPr>
        <w:numPr>
          <w:ilvl w:val="0"/>
          <w:numId w:val="1001"/>
        </w:numPr>
        <w:pStyle w:val="Compact"/>
      </w:pPr>
      <w:r>
        <w:t xml:space="preserve">Disputes arising from this</w:t>
      </w:r>
      <w:r>
        <w:t xml:space="preserve"> </w:t>
      </w:r>
      <w:r>
        <w:t xml:space="preserve">Quotation Estimate</w:t>
      </w:r>
      <w:r>
        <w:t xml:space="preserve"> </w:t>
      </w:r>
      <w:r>
        <w:t xml:space="preserve">shall be governed by the laws of the Arab Republic of Egypt and adjudicated in the competent courts of Alexandria.</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exclusively for the named client and the specific</w:t>
      </w:r>
      <w:r>
        <w:t xml:space="preserve"> </w:t>
      </w:r>
      <w:r>
        <w:t xml:space="preserve">Surgeon</w:t>
      </w:r>
      <w:r>
        <w:t xml:space="preserve"> </w:t>
      </w:r>
      <w:r>
        <w:t xml:space="preserve">engagement described herein. It is non-transferable and non-negotiable in its current form. Any modifications must be submitted in writing and approved by both parties. All services are to be rendered at our primary facility in</w:t>
      </w:r>
      <w:r>
        <w:t xml:space="preserve"> </w:t>
      </w:r>
      <w:r>
        <w:t xml:space="preserve">Egypt Alexandria</w:t>
      </w:r>
      <w:r>
        <w:t xml:space="preserve"> </w:t>
      </w:r>
      <w:r>
        <w:t xml:space="preserve">unless otherwise agreed in a written addendum.</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Surgeon</w:t>
      </w:r>
      <w:r>
        <w:t xml:space="preserve"> </w:t>
      </w:r>
      <w:r>
        <w:t xml:space="preserve">in</w:t>
      </w:r>
      <w:r>
        <w:t xml:space="preserve"> </w:t>
      </w:r>
      <w:r>
        <w:t xml:space="preserve">Egypt Alexandria</w:t>
      </w:r>
      <w:r>
        <w:t xml:space="preserve">. This signature constitutes formal acceptance and authorizes Alexandria Medical Services Group to proceed with scheduling and preparation.</w:t>
      </w:r>
    </w:p>
    <w:p>
      <w:pPr>
        <w:pStyle w:val="BodyText"/>
      </w:pPr>
      <w:r>
        <w:rPr>
          <w:bCs/>
          <w:b/>
        </w:rPr>
        <w:t xml:space="preserve">For Alexandria Medical Services Group</w:t>
      </w:r>
      <w:r>
        <w:br/>
      </w:r>
      <w:r>
        <w:t xml:space="preserve">Authorized Signatory</w:t>
      </w:r>
      <w:r>
        <w:br/>
      </w:r>
      <w:r>
        <w:t xml:space="preserve">Name: Eng. Mona El-Sayed</w:t>
      </w:r>
      <w:r>
        <w:br/>
      </w:r>
      <w:r>
        <w:t xml:space="preserve">Title: Director of Operations</w:t>
      </w:r>
      <w:r>
        <w:br/>
      </w:r>
      <w:r>
        <w:t xml:space="preserve">Date: _______________</w:t>
      </w:r>
    </w:p>
    <w:p>
      <w:pPr>
        <w:pStyle w:val="BodyText"/>
      </w:pPr>
      <w:r>
        <w:rPr>
          <w:bCs/>
          <w:b/>
        </w:rPr>
        <w:t xml:space="preserve">Client / Patient Representative</w:t>
      </w:r>
      <w:r>
        <w:br/>
      </w:r>
      <w:r>
        <w:t xml:space="preserve">Name: _________________________</w:t>
      </w:r>
      <w:r>
        <w:br/>
      </w:r>
      <w:r>
        <w:t xml:space="preserve">ID / Passport No: _______________</w:t>
      </w:r>
      <w:r>
        <w:br/>
      </w:r>
      <w:r>
        <w:t xml:space="preserve">Date: _______________</w:t>
      </w:r>
    </w:p>
    <w:p>
      <w:pPr>
        <w:pStyle w:val="BodyText"/>
      </w:pPr>
      <w:r>
        <w:t xml:space="preserve">Alexandria Medical Services Group | 12 Corniche El-Nil, Alexandria, Egypt 21543</w:t>
      </w:r>
      <w:r>
        <w:br/>
      </w:r>
      <w:r>
        <w:t xml:space="preserve">This Quotation Estimate (Ref: QTE-2025-ALX-0472) is the property of Alexandria Medical Services Group. Unauthorized reproduction is prohibited.</w:t>
      </w:r>
      <w:r>
        <w:br/>
      </w: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Egypt Alexandria</dc:title>
  <dc:creator/>
  <dc:language>en</dc:language>
  <cp:keywords/>
  <dcterms:created xsi:type="dcterms:W3CDTF">2026-10-10T08:35:55Z</dcterms:created>
  <dcterms:modified xsi:type="dcterms:W3CDTF">2026-10-10T08:35:55Z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