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MediCare Surgical Services Pvt. Ltd.</w:t>
      </w:r>
    </w:p>
    <w:p>
      <w:pPr>
        <w:pStyle w:val="BodyText"/>
      </w:pPr>
      <w:r>
        <w:t xml:space="preserve">Corporate Office: 4th Floor, Business Bay Tower, BKC, Bandra Kurla Complex, Mumbai – 400051, Maharashtra, India</w:t>
      </w:r>
    </w:p>
    <w:p>
      <w:pPr>
        <w:pStyle w:val="BodyText"/>
      </w:pPr>
      <w:r>
        <w:t xml:space="preserve">Phone: +91-22-4055-8899 | Email: estimates@medicare-surgical.in | GSTIN: 27AABCM1234F1Z5</w:t>
      </w:r>
    </w:p>
    <w:p>
      <w:pPr>
        <w:pStyle w:val="BodyText"/>
      </w:pPr>
      <w:r>
        <w:t xml:space="preserve">Registered under the Medical Council of India (MCI) | NABH Accredited Facility</w:t>
      </w:r>
    </w:p>
    <w:bookmarkEnd w:id="20"/>
    <w:p>
      <w:pPr>
        <w:pStyle w:val="BodyText"/>
      </w:pPr>
      <w:r>
        <w:rPr>
          <w:bCs/>
          <w:b/>
        </w:rPr>
        <w:t xml:space="preserve">Quotation Estimate No.:</w:t>
      </w:r>
      <w:r>
        <w:t xml:space="preserve"> </w:t>
      </w:r>
      <w:r>
        <w:t xml:space="preserve">QTE/MUM/2025/04872</w:t>
      </w:r>
      <w:r>
        <w:br/>
      </w:r>
      <w:r>
        <w:rPr>
          <w:bCs/>
          <w:b/>
        </w:rPr>
        <w:t xml:space="preserve">Date of Issue:</w:t>
      </w:r>
      <w:r>
        <w:t xml:space="preserve"> </w:t>
      </w:r>
      <w:r>
        <w:t xml:space="preserve">15 June 2025</w:t>
      </w:r>
      <w:r>
        <w:br/>
      </w:r>
      <w:r>
        <w:rPr>
          <w:bCs/>
          <w:b/>
        </w:rPr>
        <w:t xml:space="preserve">Validity Period:</w:t>
      </w:r>
      <w:r>
        <w:t xml:space="preserve"> </w:t>
      </w:r>
      <w:r>
        <w:t xml:space="preserve">30 Days (until 15 July 2025)</w:t>
      </w:r>
    </w:p>
    <w:p>
      <w:pPr>
        <w:pStyle w:val="BodyText"/>
      </w:pPr>
      <w:r>
        <w:rPr>
          <w:bCs/>
          <w:b/>
        </w:rPr>
        <w:t xml:space="preserve">Prepared For:</w:t>
      </w:r>
      <w:r>
        <w:br/>
      </w:r>
      <w:r>
        <w:t xml:space="preserve">Mr. Rajesh Kulkarni</w:t>
      </w:r>
      <w:r>
        <w:br/>
      </w:r>
      <w:r>
        <w:t xml:space="preserve">Kulkarni Enterprises LLP</w:t>
      </w:r>
      <w:r>
        <w:br/>
      </w:r>
      <w:r>
        <w:t xml:space="preserve">22, Nariman Point, Mumbai – 400021</w:t>
      </w:r>
      <w:r>
        <w:br/>
      </w:r>
      <w:r>
        <w:t xml:space="preserve">Contact: +91-98200-XXXXX</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MediCare Surgical Services Pvt. Ltd., a NABH-accredited surgical facility based in</w:t>
      </w:r>
      <w:r>
        <w:t xml:space="preserve"> </w:t>
      </w:r>
      <w:r>
        <w:t xml:space="preserve">India Mumbai</w:t>
      </w:r>
      <w:r>
        <w:t xml:space="preserve">, in response to the formal request received from the above-named client for the engagement of a senior</w:t>
      </w:r>
      <w:r>
        <w:t xml:space="preserve"> </w:t>
      </w:r>
      <w:r>
        <w:t xml:space="preserve">Surgeon</w:t>
      </w:r>
      <w:r>
        <w:t xml:space="preserve"> </w:t>
      </w:r>
      <w:r>
        <w:t xml:space="preserve">and associated surgical team for a planned elective procedure. This document provides a comprehensive, itemized breakdown of all anticipated costs, professional fees, facility charges, and ancillary services required to deliver the surgical intervention safely and effectively within the</w:t>
      </w:r>
      <w:r>
        <w:t xml:space="preserve"> </w:t>
      </w:r>
      <w:r>
        <w:t xml:space="preserve">India Mumbai</w:t>
      </w:r>
      <w:r>
        <w:t xml:space="preserve"> </w:t>
      </w:r>
      <w:r>
        <w:t xml:space="preserve">metropolitan healthcare ecosystem. All pricing in this</w:t>
      </w:r>
      <w:r>
        <w:t xml:space="preserve"> </w:t>
      </w:r>
      <w:r>
        <w:t xml:space="preserve">Quotation Estimate</w:t>
      </w:r>
      <w:r>
        <w:t xml:space="preserve"> </w:t>
      </w:r>
      <w:r>
        <w:t xml:space="preserve">is quoted in Indian Rupees (INR) and is subject to the terms and conditions outlined herein.</w:t>
      </w:r>
    </w:p>
    <w:p>
      <w:pPr>
        <w:pStyle w:val="BodyText"/>
      </w:pPr>
      <w:r>
        <w:t xml:space="preserve">2. SCOPE OF SURGEON SERVICES</w:t>
      </w:r>
    </w:p>
    <w:p>
      <w:pPr>
        <w:pStyle w:val="BodyText"/>
      </w:pPr>
      <w:r>
        <w:t xml:space="preserve">The</w:t>
      </w:r>
      <w:r>
        <w:t xml:space="preserve"> </w:t>
      </w:r>
      <w:r>
        <w:t xml:space="preserve">Surgeon</w:t>
      </w:r>
      <w:r>
        <w:t xml:space="preserve"> </w:t>
      </w:r>
      <w:r>
        <w:t xml:space="preserve">to be engaged under this</w:t>
      </w:r>
      <w:r>
        <w:t xml:space="preserve"> </w:t>
      </w:r>
      <w:r>
        <w:t xml:space="preserve">Quotation Estimate</w:t>
      </w:r>
      <w:r>
        <w:t xml:space="preserve"> </w:t>
      </w:r>
      <w:r>
        <w:t xml:space="preserve">is Dr. Ananya Deshmukh, MS (General Surgery), MCh (Surgical Gastroenterology), with over 18 years of clinical experience and a fellowship in Minimally Invasive Surgery from the University of California, San Francisco. The</w:t>
      </w:r>
      <w:r>
        <w:t xml:space="preserve"> </w:t>
      </w:r>
      <w:r>
        <w:t xml:space="preserve">Surgeon</w:t>
      </w:r>
      <w:r>
        <w:t xml:space="preserve"> </w:t>
      </w:r>
      <w:r>
        <w:t xml:space="preserve">is registered with the Medical Council of India (MCI) under Registration No. MH-45821 and holds valid empanelment with all major health insurance providers operating in</w:t>
      </w:r>
      <w:r>
        <w:t xml:space="preserve"> </w:t>
      </w:r>
      <w:r>
        <w:t xml:space="preserve">India Mumbai</w:t>
      </w:r>
      <w:r>
        <w:t xml:space="preserve">. The scope of services includes pre-operative consultation, surgical planning, the operative procedure itself, intra-operative decision-making, immediate post-operative care, and a minimum of three follow-up consultations within the first 30 days post-discharge.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Surgeon – Pre-operative Consultation &amp; Assessment (includes physical examination, review of diagnostic reports, and surgical planning session)</w:t>
            </w:r>
          </w:p>
        </w:tc>
        <w:tc>
          <w:tcPr/>
          <w:p>
            <w:pPr>
              <w:pStyle w:val="Compact"/>
              <w:jc w:val="left"/>
            </w:pPr>
            <w:r>
              <w:t xml:space="preserve">1 Session</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2</w:t>
            </w:r>
          </w:p>
        </w:tc>
        <w:tc>
          <w:tcPr/>
          <w:p>
            <w:pPr>
              <w:pStyle w:val="Compact"/>
              <w:jc w:val="left"/>
            </w:pPr>
            <w:r>
              <w:t xml:space="preserve">Surgeon – Operative Fee (Laparoscopic Cholecystectomy, including anaesthesia coordination, intra-operative imaging, and surgical decision-making)</w:t>
            </w:r>
          </w:p>
        </w:tc>
        <w:tc>
          <w:tcPr/>
          <w:p>
            <w:pPr>
              <w:pStyle w:val="Compact"/>
              <w:jc w:val="left"/>
            </w:pPr>
            <w:r>
              <w:t xml:space="preserve">1 Procedure</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Assistant Surgeon &amp; Surgical Team (2 senior residents, 1 scrub nurse, 1 circulating nurse, 1 anaesthesia technician)</w:t>
            </w:r>
          </w:p>
        </w:tc>
        <w:tc>
          <w:tcPr/>
          <w:p>
            <w:pPr>
              <w:pStyle w:val="Compact"/>
              <w:jc w:val="left"/>
            </w:pPr>
            <w:r>
              <w:t xml:space="preserve">1 Team</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4</w:t>
            </w:r>
          </w:p>
        </w:tc>
        <w:tc>
          <w:tcPr/>
          <w:p>
            <w:pPr>
              <w:pStyle w:val="Compact"/>
              <w:jc w:val="left"/>
            </w:pPr>
            <w:r>
              <w:t xml:space="preserve">Operating Theatre Charges (Level 3 OT, 4-hour block, including OT preparation, sterilization, and post-operative OT cleaning)</w:t>
            </w:r>
          </w:p>
        </w:tc>
        <w:tc>
          <w:tcPr/>
          <w:p>
            <w:pPr>
              <w:pStyle w:val="Compact"/>
              <w:jc w:val="left"/>
            </w:pPr>
            <w:r>
              <w:t xml:space="preserve">1 Block</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5</w:t>
            </w:r>
          </w:p>
        </w:tc>
        <w:tc>
          <w:tcPr/>
          <w:p>
            <w:pPr>
              <w:pStyle w:val="Compact"/>
              <w:jc w:val="left"/>
            </w:pPr>
            <w:r>
              <w:t xml:space="preserve">Anaesthesiologist Fee (General anaesthesia, intra-operative monitoring, and post-anaesthesia recovery supervision)</w:t>
            </w:r>
          </w:p>
        </w:tc>
        <w:tc>
          <w:tcPr/>
          <w:p>
            <w:pPr>
              <w:pStyle w:val="Compact"/>
              <w:jc w:val="left"/>
            </w:pPr>
            <w:r>
              <w:t xml:space="preserve">1 Session</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6</w:t>
            </w:r>
          </w:p>
        </w:tc>
        <w:tc>
          <w:tcPr/>
          <w:p>
            <w:pPr>
              <w:pStyle w:val="Compact"/>
              <w:jc w:val="left"/>
            </w:pPr>
            <w:r>
              <w:t xml:space="preserve">Consumables &amp; Implants (Laparoscopic instruments, trocars, haemostatic agents, sutures, drapes, and single-use surgical disposables)</w:t>
            </w:r>
          </w:p>
        </w:tc>
        <w:tc>
          <w:tcPr/>
          <w:p>
            <w:pPr>
              <w:pStyle w:val="Compact"/>
              <w:jc w:val="left"/>
            </w:pPr>
            <w:r>
              <w:t xml:space="preserve">1 Set</w:t>
            </w:r>
          </w:p>
        </w:tc>
        <w:tc>
          <w:tcPr/>
          <w:p>
            <w:pPr>
              <w:pStyle w:val="Compact"/>
              <w:jc w:val="left"/>
            </w:pPr>
            <w:r>
              <w:t xml:space="preserve">₹ 60,000</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Pre-operative Investigations (Complete blood count, liver function tests, renal panel, ECG, chest X-ray, abdominal ultrasound, and CT abdomen with contrast)</w:t>
            </w:r>
          </w:p>
        </w:tc>
        <w:tc>
          <w:tcPr/>
          <w:p>
            <w:pPr>
              <w:pStyle w:val="Compact"/>
              <w:jc w:val="left"/>
            </w:pPr>
            <w:r>
              <w:t xml:space="preserve">1 Package</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8</w:t>
            </w:r>
          </w:p>
        </w:tc>
        <w:tc>
          <w:tcPr/>
          <w:p>
            <w:pPr>
              <w:pStyle w:val="Compact"/>
              <w:jc w:val="left"/>
            </w:pPr>
            <w:r>
              <w:t xml:space="preserve">Post-operative Hospital Stay (Private single-occupancy room, nursing care, medications, and physiotherapy – estimated 3 nights)</w:t>
            </w:r>
          </w:p>
        </w:tc>
        <w:tc>
          <w:tcPr/>
          <w:p>
            <w:pPr>
              <w:pStyle w:val="Compact"/>
              <w:jc w:val="left"/>
            </w:pPr>
            <w:r>
              <w:t xml:space="preserve">3 Nights</w:t>
            </w:r>
          </w:p>
        </w:tc>
        <w:tc>
          <w:tcPr/>
          <w:p>
            <w:pPr>
              <w:pStyle w:val="Compact"/>
              <w:jc w:val="left"/>
            </w:pPr>
            <w:r>
              <w:t xml:space="preserve">₹ 12,000</w:t>
            </w:r>
          </w:p>
        </w:tc>
        <w:tc>
          <w:tcPr/>
          <w:p>
            <w:pPr>
              <w:pStyle w:val="Compact"/>
              <w:jc w:val="left"/>
            </w:pPr>
            <w:r>
              <w:t xml:space="preserve">₹ 36,000</w:t>
            </w:r>
          </w:p>
        </w:tc>
      </w:tr>
      <w:tr>
        <w:tc>
          <w:tcPr/>
          <w:p>
            <w:pPr>
              <w:pStyle w:val="Compact"/>
              <w:jc w:val="left"/>
            </w:pPr>
            <w:r>
              <w:t xml:space="preserve">9</w:t>
            </w:r>
          </w:p>
        </w:tc>
        <w:tc>
          <w:tcPr/>
          <w:p>
            <w:pPr>
              <w:pStyle w:val="Compact"/>
              <w:jc w:val="left"/>
            </w:pPr>
            <w:r>
              <w:t xml:space="preserve">Surgeon – Post-operative Follow-up Consultations (Day 3, Day 14, and Day 30 visits including wound inspection and suture removal)</w:t>
            </w:r>
          </w:p>
        </w:tc>
        <w:tc>
          <w:tcPr/>
          <w:p>
            <w:pPr>
              <w:pStyle w:val="Compact"/>
              <w:jc w:val="left"/>
            </w:pPr>
            <w:r>
              <w:t xml:space="preserve">3 Visits</w:t>
            </w:r>
          </w:p>
        </w:tc>
        <w:tc>
          <w:tcPr/>
          <w:p>
            <w:pPr>
              <w:pStyle w:val="Compact"/>
              <w:jc w:val="left"/>
            </w:pPr>
            <w:r>
              <w:t xml:space="preserve">₹ 3,000</w:t>
            </w:r>
          </w:p>
        </w:tc>
        <w:tc>
          <w:tcPr/>
          <w:p>
            <w:pPr>
              <w:pStyle w:val="Compact"/>
              <w:jc w:val="left"/>
            </w:pPr>
            <w:r>
              <w:t xml:space="preserve">₹ 9,000</w:t>
            </w:r>
          </w:p>
        </w:tc>
      </w:tr>
      <w:tr>
        <w:tc>
          <w:tcPr/>
          <w:p>
            <w:pPr>
              <w:pStyle w:val="Compact"/>
              <w:jc w:val="left"/>
            </w:pPr>
            <w:r>
              <w:t xml:space="preserve">10</w:t>
            </w:r>
          </w:p>
        </w:tc>
        <w:tc>
          <w:tcPr/>
          <w:p>
            <w:pPr>
              <w:pStyle w:val="Compact"/>
              <w:jc w:val="left"/>
            </w:pPr>
            <w:r>
              <w:t xml:space="preserve">Pathology &amp; Histopathology (Tissue biopsy processing, staining, and reporting by a senior pathologist)</w:t>
            </w:r>
          </w:p>
        </w:tc>
        <w:tc>
          <w:tcPr/>
          <w:p>
            <w:pPr>
              <w:pStyle w:val="Compact"/>
              <w:jc w:val="left"/>
            </w:pPr>
            <w:r>
              <w:t xml:space="preserve">1 Sample</w:t>
            </w:r>
          </w:p>
        </w:tc>
        <w:tc>
          <w:tcPr/>
          <w:p>
            <w:pPr>
              <w:pStyle w:val="Compact"/>
              <w:jc w:val="left"/>
            </w:pPr>
            <w:r>
              <w:t xml:space="preserve">₹ 8,000</w:t>
            </w:r>
          </w:p>
        </w:tc>
        <w:tc>
          <w:tcPr/>
          <w:p>
            <w:pPr>
              <w:pStyle w:val="Compact"/>
              <w:jc w:val="left"/>
            </w:pPr>
            <w:r>
              <w:t xml:space="preserve">₹ 8,000</w:t>
            </w:r>
          </w:p>
        </w:tc>
      </w:tr>
      <w:tr>
        <w:tc>
          <w:tcPr/>
          <w:p>
            <w:pPr>
              <w:pStyle w:val="Compact"/>
              <w:jc w:val="left"/>
            </w:pPr>
            <w:r>
              <w:t xml:space="preserve">11</w:t>
            </w:r>
          </w:p>
        </w:tc>
        <w:tc>
          <w:tcPr/>
          <w:p>
            <w:pPr>
              <w:pStyle w:val="Compact"/>
              <w:jc w:val="left"/>
            </w:pPr>
            <w:r>
              <w:t xml:space="preserve">Emergency Contingency &amp; Complication Reserve (Covers unforeseen intra-operative complications, additional imaging, or extended ICU stay up to 24 hours)</w:t>
            </w:r>
          </w:p>
        </w:tc>
        <w:tc>
          <w:tcPr/>
          <w:p>
            <w:pPr>
              <w:pStyle w:val="Compact"/>
              <w:jc w:val="left"/>
            </w:pPr>
            <w:r>
              <w:t xml:space="preserve">1 Provision</w:t>
            </w:r>
          </w:p>
        </w:tc>
        <w:tc>
          <w:tcPr/>
          <w:p>
            <w:pPr>
              <w:pStyle w:val="Compact"/>
              <w:jc w:val="left"/>
            </w:pPr>
            <w:r>
              <w:t xml:space="preserve">₹ 20,000</w:t>
            </w:r>
          </w:p>
        </w:tc>
        <w:tc>
          <w:tcPr/>
          <w:p>
            <w:pPr>
              <w:pStyle w:val="Compact"/>
              <w:jc w:val="left"/>
            </w:pPr>
            <w:r>
              <w:t xml:space="preserve">₹ 20,000</w:t>
            </w:r>
          </w:p>
        </w:tc>
      </w:tr>
      <w:tr>
        <w:tc>
          <w:tcPr/>
          <w:p>
            <w:pPr>
              <w:pStyle w:val="Compact"/>
              <w:jc w:val="left"/>
            </w:pPr>
            <w:r>
              <w:t xml:space="preserve">12</w:t>
            </w:r>
          </w:p>
        </w:tc>
        <w:tc>
          <w:tcPr/>
          <w:p>
            <w:pPr>
              <w:pStyle w:val="Compact"/>
              <w:jc w:val="left"/>
            </w:pPr>
            <w:r>
              <w:t xml:space="preserve">Administrative &amp; Documentation Charges (Medical records, discharge summary, insurance claim processing, and statutory compliance filings as per India Mumbai healthcare regulations)</w:t>
            </w:r>
          </w:p>
        </w:tc>
        <w:tc>
          <w:tcPr/>
          <w:p>
            <w:pPr>
              <w:pStyle w:val="Compact"/>
              <w:jc w:val="left"/>
            </w:pPr>
            <w:r>
              <w:t xml:space="preserve">1 Package</w:t>
            </w:r>
          </w:p>
        </w:tc>
        <w:tc>
          <w:tcPr/>
          <w:p>
            <w:pPr>
              <w:pStyle w:val="Compact"/>
              <w:jc w:val="left"/>
            </w:pPr>
            <w:r>
              <w:t xml:space="preserve">₹ 4,500</w:t>
            </w:r>
          </w:p>
        </w:tc>
        <w:tc>
          <w:tcPr/>
          <w:p>
            <w:pPr>
              <w:pStyle w:val="Compact"/>
              <w:jc w:val="left"/>
            </w:pPr>
            <w:r>
              <w:t xml:space="preserve">₹ 4,500</w:t>
            </w:r>
          </w:p>
        </w:tc>
      </w:tr>
      <w:tr>
        <w:tc>
          <w:tcPr>
            <w:gridSpan w:val="4"/>
          </w:tcPr>
          <w:p>
            <w:pPr>
              <w:pStyle w:val="Compact"/>
              <w:jc w:val="right"/>
            </w:pPr>
            <w:r>
              <w:t xml:space="preserve">Sub-Total (INR)</w:t>
            </w:r>
          </w:p>
        </w:tc>
        <w:tc>
          <w:tcPr/>
          <w:p>
            <w:pPr>
              <w:pStyle w:val="Compact"/>
              <w:jc w:val="left"/>
            </w:pPr>
            <w:r>
              <w:t xml:space="preserve">₹ 3,91,000</w:t>
            </w:r>
          </w:p>
        </w:tc>
      </w:tr>
      <w:tr>
        <w:tc>
          <w:tcPr>
            <w:gridSpan w:val="4"/>
          </w:tcPr>
          <w:p>
            <w:pPr>
              <w:pStyle w:val="Compact"/>
              <w:jc w:val="right"/>
            </w:pPr>
            <w:r>
              <w:t xml:space="preserve">GST @ 5% (as applicable under Indian healthcare tax regulations)</w:t>
            </w:r>
          </w:p>
        </w:tc>
        <w:tc>
          <w:tcPr/>
          <w:p>
            <w:pPr>
              <w:pStyle w:val="Compact"/>
              <w:jc w:val="left"/>
            </w:pPr>
            <w:r>
              <w:t xml:space="preserve">₹ 19,550</w:t>
            </w:r>
          </w:p>
        </w:tc>
      </w:tr>
      <w:tr>
        <w:tc>
          <w:tcPr>
            <w:gridSpan w:val="4"/>
          </w:tcPr>
          <w:p>
            <w:pPr>
              <w:pStyle w:val="Compact"/>
              <w:jc w:val="right"/>
            </w:pPr>
            <w:r>
              <w:t xml:space="preserve">GRAND TOTAL (INR)</w:t>
            </w:r>
          </w:p>
        </w:tc>
        <w:tc>
          <w:tcPr/>
          <w:p>
            <w:pPr>
              <w:pStyle w:val="Compact"/>
              <w:jc w:val="left"/>
            </w:pPr>
            <w:r>
              <w:t xml:space="preserve">₹ 4,10,550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particularly those pertaining to the</w:t>
      </w:r>
      <w:r>
        <w:t xml:space="preserve"> </w:t>
      </w:r>
      <w:r>
        <w:t xml:space="preserve">Surgeon</w:t>
      </w:r>
      <w:r>
        <w:t xml:space="preserve">'s professional fees and consumables, are subject to revision based on prevailing market conditions in</w:t>
      </w:r>
      <w:r>
        <w:t xml:space="preserve"> </w:t>
      </w:r>
      <w:r>
        <w:t xml:space="preserve">India Mumbai</w:t>
      </w:r>
      <w:r>
        <w:t xml:space="preserve">.</w:t>
      </w:r>
    </w:p>
    <w:p>
      <w:pPr>
        <w:numPr>
          <w:ilvl w:val="0"/>
          <w:numId w:val="1001"/>
        </w:numPr>
        <w:pStyle w:val="Compact"/>
      </w:pPr>
      <w:r>
        <w:t xml:space="preserve">A non-refundable advance payment of 40% of the Grand Total (INR 1,64,220) is required to confirm the</w:t>
      </w:r>
      <w:r>
        <w:t xml:space="preserve"> </w:t>
      </w:r>
      <w:r>
        <w:t xml:space="preserve">Surgeon</w:t>
      </w:r>
      <w:r>
        <w:t xml:space="preserve">'s schedule and reserve the operating theatre slot. The remaining 60% shall be payable within 7 working days of the patient's discharge.</w:t>
      </w:r>
    </w:p>
    <w:p>
      <w:pPr>
        <w:numPr>
          <w:ilvl w:val="0"/>
          <w:numId w:val="1001"/>
        </w:numPr>
        <w:pStyle w:val="Compact"/>
      </w:pPr>
      <w:r>
        <w:t xml:space="preserve">The</w:t>
      </w:r>
      <w:r>
        <w:t xml:space="preserve"> </w:t>
      </w:r>
      <w:r>
        <w:t xml:space="preserve">Surgeon</w:t>
      </w:r>
      <w:r>
        <w:t xml:space="preserve"> </w:t>
      </w:r>
      <w:r>
        <w:t xml:space="preserve">reserves the right to modify the surgical approach intra-operatively based on findings during the procedure. Any additional costs arising from such modifications will be communicated to the patient or authorized representative in writing before proceeding, and will be billed separately beyond the scope of this</w:t>
      </w:r>
      <w:r>
        <w:t xml:space="preserve"> </w:t>
      </w:r>
      <w:r>
        <w:t xml:space="preserve">Quotation Estimate</w:t>
      </w:r>
      <w:r>
        <w:t xml:space="preserve">.</w:t>
      </w:r>
    </w:p>
    <w:p>
      <w:pPr>
        <w:numPr>
          <w:ilvl w:val="0"/>
          <w:numId w:val="1001"/>
        </w:numPr>
        <w:pStyle w:val="Compact"/>
      </w:pPr>
      <w:r>
        <w:t xml:space="preserve">All services rendered under this</w:t>
      </w:r>
      <w:r>
        <w:t xml:space="preserve"> </w:t>
      </w:r>
      <w:r>
        <w:t xml:space="preserve">Quotation Estimate</w:t>
      </w:r>
      <w:r>
        <w:t xml:space="preserve"> </w:t>
      </w:r>
      <w:r>
        <w:t xml:space="preserve">are subject to the availability of the</w:t>
      </w:r>
      <w:r>
        <w:t xml:space="preserve"> </w:t>
      </w:r>
      <w:r>
        <w:t xml:space="preserve">Surgeon</w:t>
      </w:r>
      <w:r>
        <w:t xml:space="preserve"> </w:t>
      </w:r>
      <w:r>
        <w:t xml:space="preserve">and the operating theatre. In the event of a rescheduling, a 15% cancellation fee shall apply if the cancellation is communicated less than 72 hours before the scheduled procedure date.</w:t>
      </w:r>
    </w:p>
    <w:p>
      <w:pPr>
        <w:numPr>
          <w:ilvl w:val="0"/>
          <w:numId w:val="1001"/>
        </w:numPr>
        <w:pStyle w:val="Compact"/>
      </w:pPr>
      <w:r>
        <w:t xml:space="preserve">This</w:t>
      </w:r>
      <w:r>
        <w:t xml:space="preserve"> </w:t>
      </w:r>
      <w:r>
        <w:t xml:space="preserve">Quotation Estimate</w:t>
      </w:r>
      <w:r>
        <w:t xml:space="preserve"> </w:t>
      </w:r>
      <w:r>
        <w:t xml:space="preserve">does not include the cost of blood transfusions, ICU charges beyond the contingency reserve, or any additional diagnostic tests that may be recommended by the</w:t>
      </w:r>
      <w:r>
        <w:t xml:space="preserve"> </w:t>
      </w:r>
      <w:r>
        <w:t xml:space="preserve">Surgeon</w:t>
      </w:r>
      <w:r>
        <w:t xml:space="preserve"> </w:t>
      </w:r>
      <w:r>
        <w:t xml:space="preserve">post-operatively.</w:t>
      </w:r>
    </w:p>
    <w:p>
      <w:pPr>
        <w:numPr>
          <w:ilvl w:val="0"/>
          <w:numId w:val="1001"/>
        </w:numPr>
        <w:pStyle w:val="Compact"/>
      </w:pPr>
      <w:r>
        <w:t xml:space="preserve">MediCare Surgical Services Pvt. Ltd. operates in strict compliance with the Medical Council of India (MCI) regulations, the Clinical Establishments (Registration and Regulation) Act, 2010, and all applicable healthcare laws of the State of Maharashtra,</w:t>
      </w:r>
      <w:r>
        <w:t xml:space="preserve"> </w:t>
      </w:r>
      <w:r>
        <w:t xml:space="preserve">India Mumbai</w:t>
      </w:r>
      <w:r>
        <w:t xml:space="preserve">.</w:t>
      </w:r>
    </w:p>
    <w:p>
      <w:pPr>
        <w:numPr>
          <w:ilvl w:val="0"/>
          <w:numId w:val="1001"/>
        </w:numPr>
        <w:pStyle w:val="Compact"/>
      </w:pPr>
      <w:r>
        <w:t xml:space="preserve">Payment may be made via bank transfer, cheque, or through approved health insurance providers. The facility is empanelled with 45+ major insurers operating in</w:t>
      </w:r>
      <w:r>
        <w:t xml:space="preserve"> </w:t>
      </w:r>
      <w:r>
        <w:t xml:space="preserve">India Mumbai</w:t>
      </w:r>
      <w:r>
        <w:t xml:space="preserve">, including Star Health, HDFC Ergo, ICICI Lombard, and New India Assurance.</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subject to the exclusive jurisdiction of the competent courts in</w:t>
      </w:r>
      <w:r>
        <w:t xml:space="preserve"> </w:t>
      </w:r>
      <w:r>
        <w:t xml:space="preserve">India Mumbai</w:t>
      </w:r>
      <w:r>
        <w:t xml:space="preserve">.</w:t>
      </w:r>
    </w:p>
    <w:p>
      <w:pPr>
        <w:pStyle w:val="FirstParagraph"/>
      </w:pPr>
      <w:r>
        <w:t xml:space="preserve">5. ACCEPTANCE AND AUTHORIZATION</w:t>
      </w:r>
    </w:p>
    <w:p>
      <w:pPr>
        <w:pStyle w:val="BodyText"/>
      </w:pPr>
      <w:r>
        <w:t xml:space="preserve">By signing below, the client acknowledges that they have read, understood, and accepted all terms, conditions, and cost estimates detailed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and associated surgical services at the</w:t>
      </w:r>
      <w:r>
        <w:t xml:space="preserve"> </w:t>
      </w:r>
      <w:r>
        <w:t xml:space="preserve">India Mumbai</w:t>
      </w:r>
      <w:r>
        <w:t xml:space="preserve"> </w:t>
      </w:r>
      <w:r>
        <w:t xml:space="preserve">facility of MediCare Surgical Services Pvt. Ltd.</w:t>
      </w:r>
    </w:p>
    <w:p>
      <w:pPr>
        <w:pStyle w:val="BodyText"/>
      </w:pPr>
      <w:r>
        <w:rPr>
          <w:bCs/>
          <w:b/>
        </w:rPr>
        <w:t xml:space="preserve">For and on behalf of</w:t>
      </w:r>
      <w:r>
        <w:br/>
      </w:r>
      <w:r>
        <w:t xml:space="preserve">MediCare Surgical Services Pvt. Ltd.</w:t>
      </w:r>
      <w:r>
        <w:br/>
      </w:r>
      <w:r>
        <w:t xml:space="preserve">India Mumbai</w:t>
      </w:r>
    </w:p>
    <w:p>
      <w:pPr>
        <w:pStyle w:val="BodyText"/>
      </w:pPr>
      <w:r>
        <w:t xml:space="preserve">Authorized Signatory / Dr. Ananya Deshmukh, MS, MCh</w:t>
      </w:r>
    </w:p>
    <w:p>
      <w:pPr>
        <w:pStyle w:val="BodyText"/>
      </w:pPr>
      <w:r>
        <w:t xml:space="preserve">Date: _______________</w:t>
      </w:r>
    </w:p>
    <w:p>
      <w:pPr>
        <w:pStyle w:val="BodyText"/>
      </w:pPr>
      <w:r>
        <w:rPr>
          <w:bCs/>
          <w:b/>
        </w:rPr>
        <w:t xml:space="preserve">Client / Patient Representative</w:t>
      </w:r>
    </w:p>
    <w:p>
      <w:pPr>
        <w:pStyle w:val="BodyText"/>
      </w:pPr>
      <w:r>
        <w:t xml:space="preserve">Mr. Rajesh Kulkarni</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QTE/MUM/2025/04872) is a confidential document intended solely for the named recipient. It does not constitute a binding contract until countersigned by both parties. MediCare Surgical Services Pvt. Ltd., BKC,</w:t>
      </w:r>
      <w:r>
        <w:t xml:space="preserve"> </w:t>
      </w:r>
      <w:r>
        <w:t xml:space="preserve">India Mumbai</w:t>
      </w:r>
      <w:r>
        <w:t xml:space="preserve"> </w:t>
      </w:r>
      <w:r>
        <w:t xml:space="preserve">– 400051.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India Mumbai</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