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quotation-estimate"/>
    <w:p>
      <w:pPr>
        <w:pStyle w:val="Heading1"/>
      </w:pPr>
      <w:r>
        <w:t xml:space="preserve">QUOTATION ESTIMATE</w:t>
      </w:r>
    </w:p>
    <w:p>
      <w:pPr>
        <w:pStyle w:val="FirstParagraph"/>
      </w:pPr>
      <w:r>
        <w:t xml:space="preserve">Professional Surgeon Services — Japan Tokyo</w:t>
      </w:r>
    </w:p>
    <w:p>
      <w:pPr>
        <w:pStyle w:val="BodyText"/>
      </w:pPr>
      <w:r>
        <w:t xml:space="preserve">Tokyo Metropolitan Medical Services Division</w:t>
      </w:r>
    </w:p>
    <w:bookmarkEnd w:id="20"/>
    <w:p>
      <w:pPr>
        <w:pStyle w:val="BodyText"/>
      </w:pPr>
      <w:r>
        <w:rPr>
          <w:bCs/>
          <w:b/>
        </w:rPr>
        <w:t xml:space="preserve">Quotation Estimate No.:</w:t>
      </w:r>
      <w:r>
        <w:t xml:space="preserve"> </w:t>
      </w:r>
      <w:r>
        <w:t xml:space="preserve">QT-2025-TKY-04872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Dr. Kenji Tanaka, M.D., Ph.D.</w:t>
      </w:r>
      <w:r>
        <w:br/>
      </w:r>
      <w:r>
        <w:rPr>
          <w:bCs/>
          <w:b/>
        </w:rPr>
        <w:t xml:space="preserve">Specialty:</w:t>
      </w:r>
      <w:r>
        <w:t xml:space="preserve"> </w:t>
      </w:r>
      <w:r>
        <w:t xml:space="preserve">General &amp; Vascular Surgery</w:t>
      </w:r>
      <w:r>
        <w:br/>
      </w:r>
      <w:r>
        <w:rPr>
          <w:bCs/>
          <w:b/>
        </w:rPr>
        <w:t xml:space="preserve">License No.:</w:t>
      </w:r>
      <w:r>
        <w:t xml:space="preserve"> </w:t>
      </w:r>
      <w:r>
        <w:t xml:space="preserve">JP-TKY-SRG-2019-00342</w:t>
      </w:r>
    </w:p>
    <w:p>
      <w:pPr>
        <w:pStyle w:val="BodyText"/>
      </w:pPr>
      <w:r>
        <w:t xml:space="preserve">1. Client / Requesting Party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Organization</w:t>
            </w:r>
          </w:p>
        </w:tc>
        <w:tc>
          <w:tcPr/>
          <w:p>
            <w:pPr>
              <w:pStyle w:val="Compact"/>
              <w:jc w:val="left"/>
            </w:pPr>
            <w:r>
              <w:t xml:space="preserve">Shinjuku International Health &amp; Wellness Center</w:t>
            </w:r>
          </w:p>
        </w:tc>
      </w:tr>
      <w:tr>
        <w:tc>
          <w:tcPr/>
          <w:p>
            <w:pPr>
              <w:pStyle w:val="Compact"/>
              <w:jc w:val="left"/>
            </w:pPr>
            <w:r>
              <w:rPr>
                <w:bCs/>
                <w:b/>
              </w:rPr>
              <w:t xml:space="preserve">Address</w:t>
            </w:r>
          </w:p>
        </w:tc>
        <w:tc>
          <w:tcPr/>
          <w:p>
            <w:pPr>
              <w:pStyle w:val="Compact"/>
              <w:jc w:val="left"/>
            </w:pPr>
            <w:r>
              <w:t xml:space="preserve">4-2-1 Nishi-Shinjuku, Shinjuku-ku, Tokyo 160-0023, Japan</w:t>
            </w:r>
          </w:p>
        </w:tc>
      </w:tr>
      <w:tr>
        <w:tc>
          <w:tcPr/>
          <w:p>
            <w:pPr>
              <w:pStyle w:val="Compact"/>
              <w:jc w:val="left"/>
            </w:pPr>
            <w:r>
              <w:rPr>
                <w:bCs/>
                <w:b/>
              </w:rPr>
              <w:t xml:space="preserve">Contact Person</w:t>
            </w:r>
          </w:p>
        </w:tc>
        <w:tc>
          <w:tcPr/>
          <w:p>
            <w:pPr>
              <w:pStyle w:val="Compact"/>
              <w:jc w:val="left"/>
            </w:pPr>
            <w:r>
              <w:t xml:space="preserve">Ms. Yuki Nakamura, Director of Medical Operations</w:t>
            </w:r>
          </w:p>
        </w:tc>
      </w:tr>
      <w:tr>
        <w:tc>
          <w:tcPr/>
          <w:p>
            <w:pPr>
              <w:pStyle w:val="Compact"/>
              <w:jc w:val="left"/>
            </w:pPr>
            <w:r>
              <w:rPr>
                <w:bCs/>
                <w:b/>
              </w:rPr>
              <w:t xml:space="preserve">Email</w:t>
            </w:r>
          </w:p>
        </w:tc>
        <w:tc>
          <w:tcPr/>
          <w:p>
            <w:pPr>
              <w:pStyle w:val="Compact"/>
              <w:jc w:val="left"/>
            </w:pPr>
            <w:r>
              <w:t xml:space="preserve">y.nakamura@shinjuku-intl-med.jp</w:t>
            </w:r>
          </w:p>
        </w:tc>
      </w:tr>
      <w:tr>
        <w:tc>
          <w:tcPr/>
          <w:p>
            <w:pPr>
              <w:pStyle w:val="Compact"/>
              <w:jc w:val="left"/>
            </w:pPr>
            <w:r>
              <w:rPr>
                <w:bCs/>
                <w:b/>
              </w:rPr>
              <w:t xml:space="preserve">Telephone</w:t>
            </w:r>
          </w:p>
        </w:tc>
        <w:tc>
          <w:tcPr/>
          <w:p>
            <w:pPr>
              <w:pStyle w:val="Compact"/>
              <w:jc w:val="left"/>
            </w:pPr>
            <w:r>
              <w:t xml:space="preserve">+81-3-5555-7821</w:t>
            </w:r>
          </w:p>
        </w:tc>
      </w:tr>
    </w:tbl>
    <w:p>
      <w:pPr>
        <w:pStyle w:val="BodyText"/>
      </w:pPr>
      <w:r>
        <w:t xml:space="preserve">2. Scope of Surgeon Services — Japan Tokyo</w:t>
      </w:r>
    </w:p>
    <w:p>
      <w:pPr>
        <w:pStyle w:val="BodyText"/>
      </w:pPr>
      <w:r>
        <w:t xml:space="preserve">This Quotation Estimate is issued for the provision of qualified Surgeon services to be performed at the Shinjuku International Health &amp; Wellness Center located in the Tokyo metropolitan area, Japan. The Surgeon, Dr. Kenji Tanaka, holds full registration with the Japan Medical Association and the Tokyo Metropolitan Board of Medicine. All surgical procedures outlined below will be conducted in compliance with the Medical Care Act of Japan (Act No. 115 of 1957) and the applicable regulations of the Tokyo Metropolitan Government. The Surgeon will be available on a full-time contractual basis for the duration specified in this Quotation Estimate, with the option for extension upon mutual agreement.</w:t>
      </w:r>
    </w:p>
    <w:p>
      <w:pPr>
        <w:pStyle w:val="BodyText"/>
      </w:pPr>
      <w:r>
        <w:t xml:space="preserve">3.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(JPY)</w:t>
            </w:r>
          </w:p>
        </w:tc>
        <w:tc>
          <w:tcPr/>
          <w:p>
            <w:pPr>
              <w:pStyle w:val="Compact"/>
              <w:jc w:val="left"/>
            </w:pPr>
            <w:r>
              <w:t xml:space="preserve">Subtotal (JPY)</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General Surgical Consultation &amp; Pre-Operative Assessment (per patient)</w:t>
            </w:r>
          </w:p>
        </w:tc>
        <w:tc>
          <w:tcPr/>
          <w:p>
            <w:pPr>
              <w:pStyle w:val="Compact"/>
              <w:jc w:val="left"/>
            </w:pPr>
            <w:r>
              <w:t xml:space="preserve">120 sessions</w:t>
            </w:r>
          </w:p>
        </w:tc>
        <w:tc>
          <w:tcPr/>
          <w:p>
            <w:pPr>
              <w:pStyle w:val="Compact"/>
              <w:jc w:val="left"/>
            </w:pPr>
            <w:r>
              <w:t xml:space="preserve">25,000</w:t>
            </w:r>
          </w:p>
        </w:tc>
        <w:tc>
          <w:tcPr/>
          <w:p>
            <w:pPr>
              <w:pStyle w:val="Compact"/>
              <w:jc w:val="left"/>
            </w:pPr>
            <w:r>
              <w:t xml:space="preserve">3,000,000</w:t>
            </w:r>
          </w:p>
        </w:tc>
        <w:tc>
          <w:tcPr/>
          <w:p>
            <w:pPr>
              <w:pStyle w:val="Compact"/>
              <w:jc w:val="left"/>
            </w:pPr>
            <w:r>
              <w:t xml:space="preserve">Includes diagnostic imaging review</w:t>
            </w:r>
          </w:p>
        </w:tc>
      </w:tr>
      <w:tr>
        <w:tc>
          <w:tcPr/>
          <w:p>
            <w:pPr>
              <w:pStyle w:val="Compact"/>
              <w:jc w:val="left"/>
            </w:pPr>
            <w:r>
              <w:t xml:space="preserve">2</w:t>
            </w:r>
          </w:p>
        </w:tc>
        <w:tc>
          <w:tcPr/>
          <w:p>
            <w:pPr>
              <w:pStyle w:val="Compact"/>
              <w:jc w:val="left"/>
            </w:pPr>
            <w:r>
              <w:t xml:space="preserve">Minor Surgical Procedures (e.g., hernia repair, cyst removal, laceration repair)</w:t>
            </w:r>
          </w:p>
        </w:tc>
        <w:tc>
          <w:tcPr/>
          <w:p>
            <w:pPr>
              <w:pStyle w:val="Compact"/>
              <w:jc w:val="left"/>
            </w:pPr>
            <w:r>
              <w:t xml:space="preserve">80 procedures</w:t>
            </w:r>
          </w:p>
        </w:tc>
        <w:tc>
          <w:tcPr/>
          <w:p>
            <w:pPr>
              <w:pStyle w:val="Compact"/>
              <w:jc w:val="left"/>
            </w:pPr>
            <w:r>
              <w:t xml:space="preserve">180,000</w:t>
            </w:r>
          </w:p>
        </w:tc>
        <w:tc>
          <w:tcPr/>
          <w:p>
            <w:pPr>
              <w:pStyle w:val="Compact"/>
              <w:jc w:val="left"/>
            </w:pPr>
            <w:r>
              <w:t xml:space="preserve">14,400,000</w:t>
            </w:r>
          </w:p>
        </w:tc>
        <w:tc>
          <w:tcPr/>
          <w:p>
            <w:pPr>
              <w:pStyle w:val="Compact"/>
              <w:jc w:val="left"/>
            </w:pPr>
            <w:r>
              <w:t xml:space="preserve">Outpatient setting, Tokyo facility</w:t>
            </w:r>
          </w:p>
        </w:tc>
      </w:tr>
      <w:tr>
        <w:tc>
          <w:tcPr/>
          <w:p>
            <w:pPr>
              <w:pStyle w:val="Compact"/>
              <w:jc w:val="left"/>
            </w:pPr>
            <w:r>
              <w:t xml:space="preserve">3</w:t>
            </w:r>
          </w:p>
        </w:tc>
        <w:tc>
          <w:tcPr/>
          <w:p>
            <w:pPr>
              <w:pStyle w:val="Compact"/>
              <w:jc w:val="left"/>
            </w:pPr>
            <w:r>
              <w:t xml:space="preserve">Major Surgical Procedures (e.g., laparoscopic cholecystectomy, vascular bypass)</w:t>
            </w:r>
          </w:p>
        </w:tc>
        <w:tc>
          <w:tcPr/>
          <w:p>
            <w:pPr>
              <w:pStyle w:val="Compact"/>
              <w:jc w:val="left"/>
            </w:pPr>
            <w:r>
              <w:t xml:space="preserve">25 procedures</w:t>
            </w:r>
          </w:p>
        </w:tc>
        <w:tc>
          <w:tcPr/>
          <w:p>
            <w:pPr>
              <w:pStyle w:val="Compact"/>
              <w:jc w:val="left"/>
            </w:pPr>
            <w:r>
              <w:t xml:space="preserve">650,000</w:t>
            </w:r>
          </w:p>
        </w:tc>
        <w:tc>
          <w:tcPr/>
          <w:p>
            <w:pPr>
              <w:pStyle w:val="Compact"/>
              <w:jc w:val="left"/>
            </w:pPr>
            <w:r>
              <w:t xml:space="preserve">16,250,000</w:t>
            </w:r>
          </w:p>
        </w:tc>
        <w:tc>
          <w:tcPr/>
          <w:p>
            <w:pPr>
              <w:pStyle w:val="Compact"/>
              <w:jc w:val="left"/>
            </w:pPr>
            <w:r>
              <w:t xml:space="preserve">Inpatient, includes ICU monitoring (48 hrs)</w:t>
            </w:r>
          </w:p>
        </w:tc>
      </w:tr>
      <w:tr>
        <w:tc>
          <w:tcPr/>
          <w:p>
            <w:pPr>
              <w:pStyle w:val="Compact"/>
              <w:jc w:val="left"/>
            </w:pPr>
            <w:r>
              <w:t xml:space="preserve">4</w:t>
            </w:r>
          </w:p>
        </w:tc>
        <w:tc>
          <w:tcPr/>
          <w:p>
            <w:pPr>
              <w:pStyle w:val="Compact"/>
              <w:jc w:val="left"/>
            </w:pPr>
            <w:r>
              <w:t xml:space="preserve">Post-Operative Follow-Up &amp; Wound Care (per patient, 3 visits)</w:t>
            </w:r>
          </w:p>
        </w:tc>
        <w:tc>
          <w:tcPr/>
          <w:p>
            <w:pPr>
              <w:pStyle w:val="Compact"/>
              <w:jc w:val="left"/>
            </w:pPr>
            <w:r>
              <w:t xml:space="preserve">205 patients</w:t>
            </w:r>
          </w:p>
        </w:tc>
        <w:tc>
          <w:tcPr/>
          <w:p>
            <w:pPr>
              <w:pStyle w:val="Compact"/>
              <w:jc w:val="left"/>
            </w:pPr>
            <w:r>
              <w:t xml:space="preserve">15,000</w:t>
            </w:r>
          </w:p>
        </w:tc>
        <w:tc>
          <w:tcPr/>
          <w:p>
            <w:pPr>
              <w:pStyle w:val="Compact"/>
              <w:jc w:val="left"/>
            </w:pPr>
            <w:r>
              <w:t xml:space="preserve">3,075,000</w:t>
            </w:r>
          </w:p>
        </w:tc>
        <w:tc>
          <w:tcPr/>
          <w:p>
            <w:pPr>
              <w:pStyle w:val="Compact"/>
              <w:jc w:val="left"/>
            </w:pPr>
            <w:r>
              <w:t xml:space="preserve">Includes suture removal and imaging</w:t>
            </w:r>
          </w:p>
        </w:tc>
      </w:tr>
      <w:tr>
        <w:tc>
          <w:tcPr/>
          <w:p>
            <w:pPr>
              <w:pStyle w:val="Compact"/>
              <w:jc w:val="left"/>
            </w:pPr>
            <w:r>
              <w:t xml:space="preserve">5</w:t>
            </w:r>
          </w:p>
        </w:tc>
        <w:tc>
          <w:tcPr/>
          <w:p>
            <w:pPr>
              <w:pStyle w:val="Compact"/>
              <w:jc w:val="left"/>
            </w:pPr>
            <w:r>
              <w:t xml:space="preserve">Emergency Surgeon Call-Out (24/7 availability, on-call retainer)</w:t>
            </w:r>
          </w:p>
        </w:tc>
        <w:tc>
          <w:tcPr/>
          <w:p>
            <w:pPr>
              <w:pStyle w:val="Compact"/>
              <w:jc w:val="left"/>
            </w:pPr>
            <w:r>
              <w:t xml:space="preserve">12 months</w:t>
            </w:r>
          </w:p>
        </w:tc>
        <w:tc>
          <w:tcPr/>
          <w:p>
            <w:pPr>
              <w:pStyle w:val="Compact"/>
              <w:jc w:val="left"/>
            </w:pPr>
            <w:r>
              <w:t xml:space="preserve">150,000</w:t>
            </w:r>
          </w:p>
        </w:tc>
        <w:tc>
          <w:tcPr/>
          <w:p>
            <w:pPr>
              <w:pStyle w:val="Compact"/>
              <w:jc w:val="left"/>
            </w:pPr>
            <w:r>
              <w:t xml:space="preserve">1,800,000</w:t>
            </w:r>
          </w:p>
        </w:tc>
        <w:tc>
          <w:tcPr/>
          <w:p>
            <w:pPr>
              <w:pStyle w:val="Compact"/>
              <w:jc w:val="left"/>
            </w:pPr>
            <w:r>
              <w:t xml:space="preserve">Maximum 4 activations per month</w:t>
            </w:r>
          </w:p>
        </w:tc>
      </w:tr>
      <w:tr>
        <w:tc>
          <w:tcPr/>
          <w:p>
            <w:pPr>
              <w:pStyle w:val="Compact"/>
              <w:jc w:val="left"/>
            </w:pPr>
            <w:r>
              <w:t xml:space="preserve">6</w:t>
            </w:r>
          </w:p>
        </w:tc>
        <w:tc>
          <w:tcPr/>
          <w:p>
            <w:pPr>
              <w:pStyle w:val="Compact"/>
              <w:jc w:val="left"/>
            </w:pPr>
            <w:r>
              <w:t xml:space="preserve">Surgical Training &amp; Mentorship for Resident Surgeons (Tokyo Medical University affiliation)</w:t>
            </w:r>
          </w:p>
        </w:tc>
        <w:tc>
          <w:tcPr/>
          <w:p>
            <w:pPr>
              <w:pStyle w:val="Compact"/>
              <w:jc w:val="left"/>
            </w:pPr>
            <w:r>
              <w:t xml:space="preserve">6 months</w:t>
            </w:r>
          </w:p>
        </w:tc>
        <w:tc>
          <w:tcPr/>
          <w:p>
            <w:pPr>
              <w:pStyle w:val="Compact"/>
              <w:jc w:val="left"/>
            </w:pPr>
            <w:r>
              <w:t xml:space="preserve">200,000</w:t>
            </w:r>
          </w:p>
        </w:tc>
        <w:tc>
          <w:tcPr/>
          <w:p>
            <w:pPr>
              <w:pStyle w:val="Compact"/>
              <w:jc w:val="left"/>
            </w:pPr>
            <w:r>
              <w:t xml:space="preserve">1,200,000</w:t>
            </w:r>
          </w:p>
        </w:tc>
        <w:tc>
          <w:tcPr/>
          <w:p>
            <w:pPr>
              <w:pStyle w:val="Compact"/>
              <w:jc w:val="left"/>
            </w:pPr>
            <w:r>
              <w:t xml:space="preserve">Up to 4 residents supervised</w:t>
            </w:r>
          </w:p>
        </w:tc>
      </w:tr>
      <w:tr>
        <w:tc>
          <w:tcPr/>
          <w:p>
            <w:pPr>
              <w:pStyle w:val="Compact"/>
              <w:jc w:val="left"/>
            </w:pPr>
            <w:r>
              <w:t xml:space="preserve">7</w:t>
            </w:r>
          </w:p>
        </w:tc>
        <w:tc>
          <w:tcPr/>
          <w:p>
            <w:pPr>
              <w:pStyle w:val="Compact"/>
              <w:jc w:val="left"/>
            </w:pPr>
            <w:r>
              <w:t xml:space="preserve">Medical Equipment &amp; Consumables (surgical instruments, sutures, implants)</w:t>
            </w:r>
          </w:p>
        </w:tc>
        <w:tc>
          <w:tcPr/>
          <w:p>
            <w:pPr>
              <w:pStyle w:val="Compact"/>
              <w:jc w:val="left"/>
            </w:pPr>
            <w:r>
              <w:t xml:space="preserve">1 lot</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Supplied per procedure as needed</w:t>
            </w:r>
          </w:p>
        </w:tc>
      </w:tr>
      <w:tr>
        <w:tc>
          <w:tcPr/>
          <w:p>
            <w:pPr>
              <w:pStyle w:val="Compact"/>
              <w:jc w:val="left"/>
            </w:pPr>
            <w:r>
              <w:t xml:space="preserve">8</w:t>
            </w:r>
          </w:p>
        </w:tc>
        <w:tc>
          <w:tcPr/>
          <w:p>
            <w:pPr>
              <w:pStyle w:val="Compact"/>
              <w:jc w:val="left"/>
            </w:pPr>
            <w:r>
              <w:t xml:space="preserve">Administrative &amp; Regulatory Compliance (licensing, insurance filings, Tokyo health authority reporting)</w:t>
            </w:r>
          </w:p>
        </w:tc>
        <w:tc>
          <w:tcPr/>
          <w:p>
            <w:pPr>
              <w:pStyle w:val="Compact"/>
              <w:jc w:val="left"/>
            </w:pPr>
            <w:r>
              <w:t xml:space="preserve">1 lot</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Annual compliance package</w:t>
            </w:r>
          </w:p>
        </w:tc>
      </w:tr>
      <w:tr>
        <w:tc>
          <w:tcPr>
            <w:gridSpan w:val="4"/>
          </w:tcPr>
          <w:p>
            <w:pPr>
              <w:pStyle w:val="Compact"/>
              <w:jc w:val="left"/>
            </w:pPr>
            <w:r>
              <w:t xml:space="preserve">TOTAL QUOTATION ESTIMATE (JPY)</w:t>
            </w:r>
          </w:p>
        </w:tc>
        <w:tc>
          <w:tcPr/>
          <w:p>
            <w:pPr>
              <w:pStyle w:val="Compact"/>
              <w:jc w:val="left"/>
            </w:pPr>
            <w:r>
              <w:t xml:space="preserve">41,575,000</w:t>
            </w:r>
          </w:p>
        </w:tc>
        <w:tc>
          <w:tcPr/>
          <w:p>
            <w:pPr>
              <w:pStyle w:val="Compact"/>
              <w:jc w:val="left"/>
            </w:pPr>
            <w:r>
              <w:t xml:space="preserve">Excl. 10% Consumption Tax</w:t>
            </w:r>
          </w:p>
        </w:tc>
      </w:tr>
      <w:tr>
        <w:tc>
          <w:tcPr>
            <w:gridSpan w:val="4"/>
          </w:tcPr>
          <w:p>
            <w:pPr>
              <w:pStyle w:val="Compact"/>
              <w:jc w:val="left"/>
            </w:pPr>
            <w:r>
              <w:t xml:space="preserve">Consumption Tax (10%)</w:t>
            </w:r>
          </w:p>
        </w:tc>
        <w:tc>
          <w:tcPr/>
          <w:p>
            <w:pPr>
              <w:pStyle w:val="Compact"/>
              <w:jc w:val="left"/>
            </w:pPr>
            <w:r>
              <w:t xml:space="preserve">4,157,500</w:t>
            </w:r>
          </w:p>
        </w:tc>
        <w:tc>
          <w:tcPr/>
          <w:p>
            <w:pPr>
              <w:pStyle w:val="Compact"/>
              <w:jc w:val="left"/>
            </w:pPr>
            <w:r>
              <w:t xml:space="preserve">Japan National Tax</w:t>
            </w:r>
          </w:p>
        </w:tc>
      </w:tr>
      <w:tr>
        <w:tc>
          <w:tcPr>
            <w:gridSpan w:val="4"/>
          </w:tcPr>
          <w:p>
            <w:pPr>
              <w:pStyle w:val="Compact"/>
              <w:jc w:val="left"/>
            </w:pPr>
            <w:r>
              <w:t xml:space="preserve">GRAND TOTAL (JPY)</w:t>
            </w:r>
          </w:p>
        </w:tc>
        <w:tc>
          <w:tcPr/>
          <w:p>
            <w:pPr>
              <w:pStyle w:val="Compact"/>
              <w:jc w:val="left"/>
            </w:pPr>
            <w:r>
              <w:t xml:space="preserve">45,732,500</w:t>
            </w:r>
          </w:p>
        </w:tc>
        <w:tc>
          <w:tcPr/>
          <w:p>
            <w:pPr>
              <w:pStyle w:val="Compact"/>
              <w:jc w:val="left"/>
            </w:pPr>
            <w:r>
              <w:t xml:space="preserve">Approx. USD 304,883</w:t>
            </w:r>
          </w:p>
        </w:tc>
      </w:tr>
    </w:tbl>
    <w:p>
      <w:pPr>
        <w:pStyle w:val="BodyText"/>
      </w:pPr>
      <w:r>
        <w:t xml:space="preserve">4. Terms and Conditions of This Quotation Estimate</w:t>
      </w:r>
    </w:p>
    <w:p>
      <w:pPr>
        <w:numPr>
          <w:ilvl w:val="0"/>
          <w:numId w:val="1001"/>
        </w:numPr>
        <w:pStyle w:val="Compact"/>
      </w:pPr>
      <w:r>
        <w:t xml:space="preserve">This Quotation Estimate is valid for thirty (30) calendar days from the date of issue. Beyond this period, all rates listed herein are subject to revision based on prevailing market conditions in Japan Tokyo and updated regulatory requirements.</w:t>
      </w:r>
    </w:p>
    <w:p>
      <w:pPr>
        <w:numPr>
          <w:ilvl w:val="0"/>
          <w:numId w:val="1001"/>
        </w:numPr>
        <w:pStyle w:val="Compact"/>
      </w:pPr>
      <w:r>
        <w:t xml:space="preserve">The Surgeon services described in this document are contingent upon the client maintaining a valid medical facility license issued by the Tokyo Metropolitan Government and compliance with all applicable Japanese healthcare regulations.</w:t>
      </w:r>
    </w:p>
    <w:p>
      <w:pPr>
        <w:numPr>
          <w:ilvl w:val="0"/>
          <w:numId w:val="1001"/>
        </w:numPr>
        <w:pStyle w:val="Compact"/>
      </w:pPr>
      <w:r>
        <w:t xml:space="preserve">Payment terms: 50% advance payment upon acceptance of this Quotation Estimate, with the remaining 50% due within thirty (30) days of the completion of the contracted service period. Payments shall be made in Japanese Yen (JPY) via bank transfer to the account designated by the Surgeon's practice.</w:t>
      </w:r>
    </w:p>
    <w:p>
      <w:pPr>
        <w:numPr>
          <w:ilvl w:val="0"/>
          <w:numId w:val="1001"/>
        </w:numPr>
        <w:pStyle w:val="Compact"/>
      </w:pPr>
      <w:r>
        <w:t xml:space="preserve">All surgical procedures will be performed in accordance with the ethical guidelines of the Japan Medical Association and the informed consent protocols mandated by Japanese law. The Surgeon reserves the right to decline any procedure that falls outside the scope of safe and ethical practice.</w:t>
      </w:r>
    </w:p>
    <w:p>
      <w:pPr>
        <w:numPr>
          <w:ilvl w:val="0"/>
          <w:numId w:val="1001"/>
        </w:numPr>
        <w:pStyle w:val="Compact"/>
      </w:pPr>
      <w:r>
        <w:t xml:space="preserve">Cancellation by the client after the Surgeon has been scheduled and prepared will incur a fee of 30% of the estimated procedure cost as outlined in this Quotation Estimate.</w:t>
      </w:r>
    </w:p>
    <w:p>
      <w:pPr>
        <w:numPr>
          <w:ilvl w:val="0"/>
          <w:numId w:val="1001"/>
        </w:numPr>
        <w:pStyle w:val="Compact"/>
      </w:pPr>
      <w:r>
        <w:t xml:space="preserve">This Quotation Estimate does not constitute a binding contract until both parties have executed the formal Service Agreement. All terms herein are subject to final legal review by the parties' respective counsel in Japan Tokyo.</w:t>
      </w:r>
    </w:p>
    <w:p>
      <w:pPr>
        <w:numPr>
          <w:ilvl w:val="0"/>
          <w:numId w:val="1001"/>
        </w:numPr>
        <w:pStyle w:val="Compact"/>
      </w:pPr>
      <w:r>
        <w:t xml:space="preserve">The Surgeon maintains comprehensive professional liability insurance (Medical Malpractice Insurance) with a coverage limit of JPY 500,000,000 per incident, as required by Japanese medical practice standards.</w:t>
      </w:r>
    </w:p>
    <w:p>
      <w:pPr>
        <w:numPr>
          <w:ilvl w:val="0"/>
          <w:numId w:val="1001"/>
        </w:numPr>
        <w:pStyle w:val="Compact"/>
      </w:pPr>
      <w:r>
        <w:t xml:space="preserve">Any disputes arising from this Quotation Estimate or the subsequent service agreement shall be resolved through mediation in Tokyo, Japan, in accordance with the rules of the Japan Arbitration Association.</w:t>
      </w:r>
    </w:p>
    <w:p>
      <w:pPr>
        <w:pStyle w:val="FirstParagraph"/>
      </w:pPr>
      <w:r>
        <w:t xml:space="preserve">5. Acceptance and Authorization</w:t>
      </w:r>
    </w:p>
    <w:p>
      <w:pPr>
        <w:pStyle w:val="BodyText"/>
      </w:pPr>
      <w:r>
        <w:t xml:space="preserve">By signing below, the client acknowledges receipt of this Quotation Estimate for Surgeon services in Japan Tokyo and agrees to the terms, conditions, and pricing outlined in this document. The Surgeon confirms availability and commitment to deliver the services as described, subject to the regulatory and operational conditions stated herein.</w:t>
      </w:r>
    </w:p>
    <w:p>
      <w:pPr>
        <w:pStyle w:val="BodyText"/>
      </w:pPr>
      <w:r>
        <w:rPr>
          <w:bCs/>
          <w:b/>
        </w:rPr>
        <w:t xml:space="preserve">For the Surgeon / Service Provider</w:t>
      </w:r>
    </w:p>
    <w:p>
      <w:pPr>
        <w:pStyle w:val="BodyText"/>
      </w:pPr>
      <w:r>
        <w:t xml:space="preserve">Dr. Kenji Tanaka, M.D., Ph.D.</w:t>
      </w:r>
      <w:r>
        <w:br/>
      </w:r>
      <w:r>
        <w:t xml:space="preserve">General &amp; Vascular Surgeon</w:t>
      </w:r>
      <w:r>
        <w:br/>
      </w:r>
      <w:r>
        <w:t xml:space="preserve">Tokyo, Japan</w:t>
      </w:r>
    </w:p>
    <w:p>
      <w:pPr>
        <w:pStyle w:val="BodyText"/>
      </w:pPr>
      <w:r>
        <w:rPr>
          <w:bCs/>
          <w:b/>
        </w:rPr>
        <w:t xml:space="preserve">For the Client / Requesting Party</w:t>
      </w:r>
    </w:p>
    <w:p>
      <w:pPr>
        <w:pStyle w:val="BodyText"/>
      </w:pPr>
      <w:r>
        <w:t xml:space="preserve">Ms. Yuki Nakamura</w:t>
      </w:r>
      <w:r>
        <w:br/>
      </w:r>
      <w:r>
        <w:t xml:space="preserve">Director of Medical Operations</w:t>
      </w:r>
      <w:r>
        <w:br/>
      </w:r>
      <w:r>
        <w:t xml:space="preserve">Shinjuku International Health &amp; Wellness Center</w:t>
      </w:r>
    </w:p>
    <w:p>
      <w:pPr>
        <w:pStyle w:val="BodyText"/>
      </w:pPr>
      <w:r>
        <w:t xml:space="preserve">Quotation Estimate No. QT-2025-TKY-04872 | Issued in Tokyo, Japan | This document is confidential and intended solely for the named recipient.</w:t>
      </w:r>
    </w:p>
    <w:p>
      <w:pPr>
        <w:pStyle w:val="BodyText"/>
      </w:pPr>
      <w:r>
        <w:t xml:space="preserve">Dr. Kenji Tanaka Surgical Practice | 2-1-8 Ichigaya, Shinjuku-ku, Tokyo 162-0046, Japan | Tel: +81-3-3333-4455 | Email: k.tanaka@tokyo-surgical.jp</w:t>
      </w:r>
    </w:p>
    <w:p>
      <w:pPr>
        <w:pStyle w:val="BodyText"/>
      </w:pPr>
      <w:r>
        <w:t xml:space="preserve">© 2025 Tokyo Metropolitan Medical Services Division.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Japan Tokyo</dc:title>
  <dc:creator/>
  <dc:language>en</dc:language>
  <cp:keywords/>
  <dcterms:created xsi:type="dcterms:W3CDTF">2026-10-10T01:06:06Z</dcterms:created>
  <dcterms:modified xsi:type="dcterms:W3CDTF">2026-10-10T01:06:06Z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