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X58d4dfcad4a74c4ff458fe83c67d97f43a2c2bc"/>
    <w:p>
      <w:pPr>
        <w:pStyle w:val="Heading1"/>
      </w:pPr>
      <w:r>
        <w:t xml:space="preserve">MediCare International Staffing Solutions W.L.L.</w:t>
      </w:r>
    </w:p>
    <w:p>
      <w:pPr>
        <w:pStyle w:val="FirstParagraph"/>
      </w:pPr>
      <w:r>
        <w:t xml:space="preserve">Office 1204, Level 12, Doha Tower, West Bay, Doha, Qatar</w:t>
      </w:r>
    </w:p>
    <w:p>
      <w:pPr>
        <w:pStyle w:val="BodyText"/>
      </w:pPr>
      <w:r>
        <w:t xml:space="preserve">Tel: +974-4455-6677 | Email: quotations@medicareintl-qatar.com</w:t>
      </w:r>
    </w:p>
    <w:p>
      <w:pPr>
        <w:pStyle w:val="BodyText"/>
      </w:pPr>
      <w:r>
        <w:t xml:space="preserve">Qatar Commercial Registration No. 123456 | VAT No. QV-789012345</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QTE-2025-QD-0487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For:</w:t>
      </w:r>
      <w:r>
        <w:t xml:space="preserve"> </w:t>
      </w:r>
      <w:r>
        <w:t xml:space="preserve">Qatar Doha Healthcare Facilities</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Al Rayyan Medical Group</w:t>
      </w:r>
    </w:p>
    <w:p>
      <w:pPr>
        <w:pStyle w:val="BodyText"/>
      </w:pPr>
      <w:r>
        <w:rPr>
          <w:bCs/>
          <w:b/>
        </w:rPr>
        <w:t xml:space="preserve">Address:</w:t>
      </w:r>
      <w:r>
        <w:t xml:space="preserve"> </w:t>
      </w:r>
      <w:r>
        <w:t xml:space="preserve">Al Rayyan Road, Doha, Qatar</w:t>
      </w:r>
    </w:p>
    <w:p>
      <w:pPr>
        <w:pStyle w:val="BodyText"/>
      </w:pPr>
      <w:r>
        <w:rPr>
          <w:bCs/>
          <w:b/>
        </w:rPr>
        <w:t xml:space="preserve">Contact Person:</w:t>
      </w:r>
      <w:r>
        <w:t xml:space="preserve"> </w:t>
      </w:r>
      <w:r>
        <w:t xml:space="preserve">Dr. Khalid Al-Mansoori, Chief Medical Officer</w:t>
      </w:r>
    </w:p>
    <w:p>
      <w:pPr>
        <w:pStyle w:val="BodyText"/>
      </w:pPr>
      <w:r>
        <w:rPr>
          <w:bCs/>
          <w:b/>
        </w:rPr>
        <w:t xml:space="preserve">Reference:</w:t>
      </w:r>
      <w:r>
        <w:t xml:space="preserve"> </w:t>
      </w:r>
      <w:r>
        <w:t xml:space="preserve">RFP-2025-SURG-012</w:t>
      </w:r>
    </w:p>
    <w:bookmarkEnd w:id="22"/>
    <w:p>
      <w:pPr>
        <w:pStyle w:val="BodyText"/>
      </w:pPr>
      <w:r>
        <w:t xml:space="preserve">Dear Dr. Al-Mansoori,</w:t>
      </w:r>
    </w:p>
    <w:p>
      <w:pPr>
        <w:pStyle w:val="BodyText"/>
      </w:pPr>
      <w:r>
        <w:t xml:space="preserve">Thank you for the opportunity to submit this</w:t>
      </w:r>
      <w:r>
        <w:t xml:space="preserve"> </w:t>
      </w:r>
      <w:r>
        <w:t xml:space="preserve">Quotation Estimate</w:t>
      </w:r>
      <w:r>
        <w:t xml:space="preserve"> </w:t>
      </w:r>
      <w:r>
        <w:t xml:space="preserve">for the recruitment and deployment of a qualified</w:t>
      </w:r>
      <w:r>
        <w:t xml:space="preserve"> </w:t>
      </w:r>
      <w:r>
        <w:t xml:space="preserve">Surgeon</w:t>
      </w:r>
      <w:r>
        <w:t xml:space="preserve"> </w:t>
      </w:r>
      <w:r>
        <w:t xml:space="preserve">to serve at your facility in</w:t>
      </w:r>
      <w:r>
        <w:t xml:space="preserve"> </w:t>
      </w:r>
      <w:r>
        <w:t xml:space="preserve">Qatar Doha</w:t>
      </w:r>
      <w:r>
        <w:t xml:space="preserve">. MediCare International Staffing Solutions W.L.L. is a licensed medical staffing agency operating in Qatar, and we are pleased to present the following comprehensive estimate for your review and consideration. This</w:t>
      </w:r>
      <w:r>
        <w:t xml:space="preserve"> </w:t>
      </w:r>
      <w:r>
        <w:t xml:space="preserve">Quotation Estimate</w:t>
      </w:r>
      <w:r>
        <w:t xml:space="preserve"> </w:t>
      </w:r>
      <w:r>
        <w:t xml:space="preserve">covers all aspects of the</w:t>
      </w:r>
      <w:r>
        <w:t xml:space="preserve"> </w:t>
      </w:r>
      <w:r>
        <w:t xml:space="preserve">Surgeon</w:t>
      </w:r>
      <w:r>
        <w:t xml:space="preserve"> </w:t>
      </w:r>
      <w:r>
        <w:t xml:space="preserve">engagement, including recruitment, licensing, compensation, and ongoing support throughout the contract period in</w:t>
      </w:r>
      <w:r>
        <w:t xml:space="preserve"> </w:t>
      </w:r>
      <w:r>
        <w:t xml:space="preserve">Qatar Doha</w:t>
      </w:r>
      <w:r>
        <w:t xml:space="preserve">.</w:t>
      </w:r>
    </w:p>
    <w:bookmarkStart w:id="23" w:name="X29d4427b2c0109b687b7b951e8d8acbd1a6c317"/>
    <w:p>
      <w:pPr>
        <w:pStyle w:val="Heading2"/>
      </w:pPr>
      <w:r>
        <w:t xml:space="preserve">1. Scope of Services – Surgeon Deployment in Qatar Doha</w:t>
      </w:r>
    </w:p>
    <w:p>
      <w:pPr>
        <w:pStyle w:val="FirstParagraph"/>
      </w:pPr>
      <w:r>
        <w:t xml:space="preserve">This</w:t>
      </w:r>
      <w:r>
        <w:t xml:space="preserve"> </w:t>
      </w:r>
      <w:r>
        <w:t xml:space="preserve">Quotation Estimate</w:t>
      </w:r>
      <w:r>
        <w:t xml:space="preserve"> </w:t>
      </w:r>
      <w:r>
        <w:t xml:space="preserve">pertains to the full-cycle recruitment, visa processing, licensing, and continuous employment management of a</w:t>
      </w:r>
      <w:r>
        <w:t xml:space="preserve"> </w:t>
      </w:r>
      <w:r>
        <w:t xml:space="preserve">Surgeon</w:t>
      </w:r>
      <w:r>
        <w:t xml:space="preserve"> </w:t>
      </w:r>
      <w:r>
        <w:t xml:space="preserve">(General Surgery / Vascular Surgery specialty) for a period of twenty-four (24) months at the client's hospital in</w:t>
      </w:r>
      <w:r>
        <w:t xml:space="preserve"> </w:t>
      </w:r>
      <w:r>
        <w:t xml:space="preserve">Qatar Doha</w:t>
      </w:r>
      <w:r>
        <w:t xml:space="preserve">. The</w:t>
      </w:r>
      <w:r>
        <w:t xml:space="preserve"> </w:t>
      </w:r>
      <w:r>
        <w:t xml:space="preserve">Surgeon</w:t>
      </w:r>
      <w:r>
        <w:t xml:space="preserve"> </w:t>
      </w:r>
      <w:r>
        <w:t xml:space="preserve">will be responsible for performing elective and emergency surgical procedures, supervising junior surgical staff, participating in multidisciplinary case conferences, and maintaining compliance with the Qatar Ministry of Public Health (MoPH) regulatory standards.</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(QAR)</w:t>
            </w:r>
          </w:p>
        </w:tc>
        <w:tc>
          <w:tcPr/>
          <w:p>
            <w:pPr>
              <w:pStyle w:val="Compact"/>
              <w:jc w:val="left"/>
            </w:pPr>
            <w:r>
              <w:t xml:space="preserve">Total (QAR)</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Recruitment and screening of a qualified Surgeon (minimum 10 years post-qualification experience, board-certified)</w:t>
            </w:r>
          </w:p>
        </w:tc>
        <w:tc>
          <w:tcPr/>
          <w:p>
            <w:pPr>
              <w:pStyle w:val="Compact"/>
              <w:jc w:val="left"/>
            </w:pPr>
            <w:r>
              <w:t xml:space="preserve">One-time</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Includes CV screening, interviews, reference checks</w:t>
            </w:r>
          </w:p>
        </w:tc>
      </w:tr>
      <w:tr>
        <w:tc>
          <w:tcPr/>
          <w:p>
            <w:pPr>
              <w:pStyle w:val="Compact"/>
              <w:jc w:val="left"/>
            </w:pPr>
            <w:r>
              <w:t xml:space="preserve">2</w:t>
            </w:r>
          </w:p>
        </w:tc>
        <w:tc>
          <w:tcPr/>
          <w:p>
            <w:pPr>
              <w:pStyle w:val="Compact"/>
              <w:jc w:val="left"/>
            </w:pPr>
            <w:r>
              <w:t xml:space="preserve">Qatar MoPH dataflow and professional license processing for the Surgeon</w:t>
            </w:r>
          </w:p>
        </w:tc>
        <w:tc>
          <w:tcPr/>
          <w:p>
            <w:pPr>
              <w:pStyle w:val="Compact"/>
              <w:jc w:val="left"/>
            </w:pPr>
            <w:r>
              <w:t xml:space="preserve">One-time</w:t>
            </w:r>
          </w:p>
        </w:tc>
        <w:tc>
          <w:tcPr/>
          <w:p>
            <w:pPr>
              <w:pStyle w:val="Compact"/>
              <w:jc w:val="left"/>
            </w:pPr>
            <w:r>
              <w:t xml:space="preserve">18,500</w:t>
            </w:r>
          </w:p>
        </w:tc>
        <w:tc>
          <w:tcPr/>
          <w:p>
            <w:pPr>
              <w:pStyle w:val="Compact"/>
              <w:jc w:val="left"/>
            </w:pPr>
            <w:r>
              <w:t xml:space="preserve">18,500</w:t>
            </w:r>
          </w:p>
        </w:tc>
        <w:tc>
          <w:tcPr/>
          <w:p>
            <w:pPr>
              <w:pStyle w:val="Compact"/>
              <w:jc w:val="left"/>
            </w:pPr>
            <w:r>
              <w:t xml:space="preserve">Includes DHA/PHC equivalency assessment</w:t>
            </w:r>
          </w:p>
        </w:tc>
      </w:tr>
      <w:tr>
        <w:tc>
          <w:tcPr/>
          <w:p>
            <w:pPr>
              <w:pStyle w:val="Compact"/>
              <w:jc w:val="left"/>
            </w:pPr>
            <w:r>
              <w:t xml:space="preserve">3</w:t>
            </w:r>
          </w:p>
        </w:tc>
        <w:tc>
          <w:tcPr/>
          <w:p>
            <w:pPr>
              <w:pStyle w:val="Compact"/>
              <w:jc w:val="left"/>
            </w:pPr>
            <w:r>
              <w:t xml:space="preserve">Qatar work visa, residence permit, and medical fitness examination</w:t>
            </w:r>
          </w:p>
        </w:tc>
        <w:tc>
          <w:tcPr/>
          <w:p>
            <w:pPr>
              <w:pStyle w:val="Compact"/>
              <w:jc w:val="left"/>
            </w:pPr>
            <w:r>
              <w:t xml:space="preserve">One-time</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Full immigration processing in Qatar Doha</w:t>
            </w:r>
          </w:p>
        </w:tc>
      </w:tr>
      <w:tr>
        <w:tc>
          <w:tcPr/>
          <w:p>
            <w:pPr>
              <w:pStyle w:val="Compact"/>
              <w:jc w:val="left"/>
            </w:pPr>
            <w:r>
              <w:t xml:space="preserve">4</w:t>
            </w:r>
          </w:p>
        </w:tc>
        <w:tc>
          <w:tcPr/>
          <w:p>
            <w:pPr>
              <w:pStyle w:val="Compact"/>
              <w:jc w:val="left"/>
            </w:pPr>
            <w:r>
              <w:t xml:space="preserve">Monthly salary and allowances for the Surgeon (tax-free)</w:t>
            </w:r>
          </w:p>
        </w:tc>
        <w:tc>
          <w:tcPr/>
          <w:p>
            <w:pPr>
              <w:pStyle w:val="Compact"/>
              <w:jc w:val="left"/>
            </w:pPr>
            <w:r>
              <w:t xml:space="preserve">24 months</w:t>
            </w:r>
          </w:p>
        </w:tc>
        <w:tc>
          <w:tcPr/>
          <w:p>
            <w:pPr>
              <w:pStyle w:val="Compact"/>
              <w:jc w:val="left"/>
            </w:pPr>
            <w:r>
              <w:t xml:space="preserve">55,000</w:t>
            </w:r>
          </w:p>
        </w:tc>
        <w:tc>
          <w:tcPr/>
          <w:p>
            <w:pPr>
              <w:pStyle w:val="Compact"/>
              <w:jc w:val="left"/>
            </w:pPr>
            <w:r>
              <w:t xml:space="preserve">1,320,000</w:t>
            </w:r>
          </w:p>
        </w:tc>
        <w:tc>
          <w:tcPr/>
          <w:p>
            <w:pPr>
              <w:pStyle w:val="Compact"/>
              <w:jc w:val="left"/>
            </w:pPr>
            <w:r>
              <w:t xml:space="preserve">Inclusive of housing and transport allowance</w:t>
            </w:r>
          </w:p>
        </w:tc>
      </w:tr>
      <w:tr>
        <w:tc>
          <w:tcPr/>
          <w:p>
            <w:pPr>
              <w:pStyle w:val="Compact"/>
              <w:jc w:val="left"/>
            </w:pPr>
            <w:r>
              <w:t xml:space="preserve">5</w:t>
            </w:r>
          </w:p>
        </w:tc>
        <w:tc>
          <w:tcPr/>
          <w:p>
            <w:pPr>
              <w:pStyle w:val="Compact"/>
              <w:jc w:val="left"/>
            </w:pPr>
            <w:r>
              <w:t xml:space="preserve">Annual airfare (economy, round-trip) for the Surgeon and immediate family (up to 3 dependents)</w:t>
            </w:r>
          </w:p>
        </w:tc>
        <w:tc>
          <w:tcPr/>
          <w:p>
            <w:pPr>
              <w:pStyle w:val="Compact"/>
              <w:jc w:val="left"/>
            </w:pPr>
            <w:r>
              <w:t xml:space="preserve">24 months</w:t>
            </w:r>
          </w:p>
        </w:tc>
        <w:tc>
          <w:tcPr/>
          <w:p>
            <w:pPr>
              <w:pStyle w:val="Compact"/>
              <w:jc w:val="left"/>
            </w:pPr>
            <w:r>
              <w:t xml:space="preserve">14,000</w:t>
            </w:r>
          </w:p>
        </w:tc>
        <w:tc>
          <w:tcPr/>
          <w:p>
            <w:pPr>
              <w:pStyle w:val="Compact"/>
              <w:jc w:val="left"/>
            </w:pPr>
            <w:r>
              <w:t xml:space="preserve">28,000</w:t>
            </w:r>
          </w:p>
        </w:tc>
        <w:tc>
          <w:tcPr/>
          <w:p>
            <w:pPr>
              <w:pStyle w:val="Compact"/>
              <w:jc w:val="left"/>
            </w:pPr>
            <w:r>
              <w:t xml:space="preserve">Two trips per year</w:t>
            </w:r>
          </w:p>
        </w:tc>
      </w:tr>
      <w:tr>
        <w:tc>
          <w:tcPr/>
          <w:p>
            <w:pPr>
              <w:pStyle w:val="Compact"/>
              <w:jc w:val="left"/>
            </w:pPr>
            <w:r>
              <w:t xml:space="preserve">6</w:t>
            </w:r>
          </w:p>
        </w:tc>
        <w:tc>
          <w:tcPr/>
          <w:p>
            <w:pPr>
              <w:pStyle w:val="Compact"/>
              <w:jc w:val="left"/>
            </w:pPr>
            <w:r>
              <w:t xml:space="preserve">Comprehensive health insurance (Surgeon + 3 dependents) – Qatar Doha network</w:t>
            </w:r>
          </w:p>
        </w:tc>
        <w:tc>
          <w:tcPr/>
          <w:p>
            <w:pPr>
              <w:pStyle w:val="Compact"/>
              <w:jc w:val="left"/>
            </w:pPr>
            <w:r>
              <w:t xml:space="preserve">24 months</w:t>
            </w:r>
          </w:p>
        </w:tc>
        <w:tc>
          <w:tcPr/>
          <w:p>
            <w:pPr>
              <w:pStyle w:val="Compact"/>
              <w:jc w:val="left"/>
            </w:pPr>
            <w:r>
              <w:t xml:space="preserve">8,500</w:t>
            </w:r>
          </w:p>
        </w:tc>
        <w:tc>
          <w:tcPr/>
          <w:p>
            <w:pPr>
              <w:pStyle w:val="Compact"/>
              <w:jc w:val="left"/>
            </w:pPr>
            <w:r>
              <w:t xml:space="preserve">204,000</w:t>
            </w:r>
          </w:p>
        </w:tc>
        <w:tc>
          <w:tcPr/>
          <w:p>
            <w:pPr>
              <w:pStyle w:val="Compact"/>
              <w:jc w:val="left"/>
            </w:pPr>
            <w:r>
              <w:t xml:space="preserve">Gold-tier coverage, no sub-limits</w:t>
            </w:r>
          </w:p>
        </w:tc>
      </w:tr>
      <w:tr>
        <w:tc>
          <w:tcPr/>
          <w:p>
            <w:pPr>
              <w:pStyle w:val="Compact"/>
              <w:jc w:val="left"/>
            </w:pPr>
            <w:r>
              <w:t xml:space="preserve">7</w:t>
            </w:r>
          </w:p>
        </w:tc>
        <w:tc>
          <w:tcPr/>
          <w:p>
            <w:pPr>
              <w:pStyle w:val="Compact"/>
              <w:jc w:val="left"/>
            </w:pPr>
            <w:r>
              <w:t xml:space="preserve">Annual professional development and CME allowance for the Surgeon</w:t>
            </w:r>
          </w:p>
        </w:tc>
        <w:tc>
          <w:tcPr/>
          <w:p>
            <w:pPr>
              <w:pStyle w:val="Compact"/>
              <w:jc w:val="left"/>
            </w:pPr>
            <w:r>
              <w:t xml:space="preserve">24 months</w:t>
            </w:r>
          </w:p>
        </w:tc>
        <w:tc>
          <w:tcPr/>
          <w:p>
            <w:pPr>
              <w:pStyle w:val="Compact"/>
              <w:jc w:val="left"/>
            </w:pPr>
            <w:r>
              <w:t xml:space="preserve">6,000</w:t>
            </w:r>
          </w:p>
        </w:tc>
        <w:tc>
          <w:tcPr/>
          <w:p>
            <w:pPr>
              <w:pStyle w:val="Compact"/>
              <w:jc w:val="left"/>
            </w:pPr>
            <w:r>
              <w:t xml:space="preserve">12,000</w:t>
            </w:r>
          </w:p>
        </w:tc>
        <w:tc>
          <w:tcPr/>
          <w:p>
            <w:pPr>
              <w:pStyle w:val="Compact"/>
              <w:jc w:val="left"/>
            </w:pPr>
            <w:r>
              <w:t xml:space="preserve">Conferences, workshops, journal subscriptions</w:t>
            </w:r>
          </w:p>
        </w:tc>
      </w:tr>
      <w:tr>
        <w:tc>
          <w:tcPr/>
          <w:p>
            <w:pPr>
              <w:pStyle w:val="Compact"/>
              <w:jc w:val="left"/>
            </w:pPr>
            <w:r>
              <w:t xml:space="preserve">8</w:t>
            </w:r>
          </w:p>
        </w:tc>
        <w:tc>
          <w:tcPr/>
          <w:p>
            <w:pPr>
              <w:pStyle w:val="Compact"/>
              <w:jc w:val="left"/>
            </w:pPr>
            <w:r>
              <w:t xml:space="preserve">End-of-service gratuity provision (as per Qatar Labour Law)</w:t>
            </w:r>
          </w:p>
        </w:tc>
        <w:tc>
          <w:tcPr/>
          <w:p>
            <w:pPr>
              <w:pStyle w:val="Compact"/>
              <w:jc w:val="left"/>
            </w:pPr>
            <w:r>
              <w:t xml:space="preserve">24 months</w:t>
            </w:r>
          </w:p>
        </w:tc>
        <w:tc>
          <w:tcPr/>
          <w:p>
            <w:pPr>
              <w:pStyle w:val="Compact"/>
              <w:jc w:val="left"/>
            </w:pPr>
            <w:r>
              <w:t xml:space="preserve">11,000</w:t>
            </w:r>
          </w:p>
        </w:tc>
        <w:tc>
          <w:tcPr/>
          <w:p>
            <w:pPr>
              <w:pStyle w:val="Compact"/>
              <w:jc w:val="left"/>
            </w:pPr>
            <w:r>
              <w:t xml:space="preserve">26,400</w:t>
            </w:r>
          </w:p>
        </w:tc>
        <w:tc>
          <w:tcPr/>
          <w:p>
            <w:pPr>
              <w:pStyle w:val="Compact"/>
              <w:jc w:val="left"/>
            </w:pPr>
            <w:r>
              <w:t xml:space="preserve">Accrued monthly</w:t>
            </w:r>
          </w:p>
        </w:tc>
      </w:tr>
      <w:tr>
        <w:tc>
          <w:tcPr/>
          <w:p>
            <w:pPr>
              <w:pStyle w:val="Compact"/>
              <w:jc w:val="left"/>
            </w:pPr>
            <w:r>
              <w:t xml:space="preserve">9</w:t>
            </w:r>
          </w:p>
        </w:tc>
        <w:tc>
          <w:tcPr/>
          <w:p>
            <w:pPr>
              <w:pStyle w:val="Compact"/>
              <w:jc w:val="left"/>
            </w:pPr>
            <w:r>
              <w:t xml:space="preserve">Agency management and compliance oversight fee</w:t>
            </w:r>
          </w:p>
        </w:tc>
        <w:tc>
          <w:tcPr/>
          <w:p>
            <w:pPr>
              <w:pStyle w:val="Compact"/>
              <w:jc w:val="left"/>
            </w:pPr>
            <w:r>
              <w:t xml:space="preserve">24 months</w:t>
            </w:r>
          </w:p>
        </w:tc>
        <w:tc>
          <w:tcPr/>
          <w:p>
            <w:pPr>
              <w:pStyle w:val="Compact"/>
              <w:jc w:val="left"/>
            </w:pPr>
            <w:r>
              <w:t xml:space="preserve">7,500</w:t>
            </w:r>
          </w:p>
        </w:tc>
        <w:tc>
          <w:tcPr/>
          <w:p>
            <w:pPr>
              <w:pStyle w:val="Compact"/>
              <w:jc w:val="left"/>
            </w:pPr>
            <w:r>
              <w:t xml:space="preserve">180,000</w:t>
            </w:r>
          </w:p>
        </w:tc>
        <w:tc>
          <w:tcPr/>
          <w:p>
            <w:pPr>
              <w:pStyle w:val="Compact"/>
              <w:jc w:val="left"/>
            </w:pPr>
            <w:r>
              <w:t xml:space="preserve">Monthly HR, legal, and regulatory support</w:t>
            </w:r>
          </w:p>
        </w:tc>
      </w:tr>
      <w:tr>
        <w:tc>
          <w:tcPr/>
          <w:p>
            <w:pPr>
              <w:pStyle w:val="Compact"/>
              <w:jc w:val="left"/>
            </w:pPr>
            <w:r>
              <w:t xml:space="preserve">10</w:t>
            </w:r>
          </w:p>
        </w:tc>
        <w:tc>
          <w:tcPr/>
          <w:p>
            <w:pPr>
              <w:pStyle w:val="Compact"/>
              <w:jc w:val="left"/>
            </w:pPr>
            <w:r>
              <w:t xml:space="preserve">Onboarding, orientation, and facility integration in Qatar Doha</w:t>
            </w:r>
          </w:p>
        </w:tc>
        <w:tc>
          <w:tcPr/>
          <w:p>
            <w:pPr>
              <w:pStyle w:val="Compact"/>
              <w:jc w:val="left"/>
            </w:pPr>
            <w:r>
              <w:t xml:space="preserve">One-time</w:t>
            </w:r>
          </w:p>
        </w:tc>
        <w:tc>
          <w:tcPr/>
          <w:p>
            <w:pPr>
              <w:pStyle w:val="Compact"/>
              <w:jc w:val="left"/>
            </w:pPr>
            <w:r>
              <w:t xml:space="preserve">8,000</w:t>
            </w:r>
          </w:p>
        </w:tc>
        <w:tc>
          <w:tcPr/>
          <w:p>
            <w:pPr>
              <w:pStyle w:val="Compact"/>
              <w:jc w:val="left"/>
            </w:pPr>
            <w:r>
              <w:t xml:space="preserve">8,000</w:t>
            </w:r>
          </w:p>
        </w:tc>
        <w:tc>
          <w:tcPr/>
          <w:p>
            <w:pPr>
              <w:pStyle w:val="Compact"/>
              <w:jc w:val="left"/>
            </w:pPr>
            <w:r>
              <w:t xml:space="preserve">First 30 days support</w:t>
            </w:r>
          </w:p>
        </w:tc>
      </w:tr>
    </w:tbl>
    <w:bookmarkEnd w:id="24"/>
    <w:bookmarkStart w:id="25" w:name="financial-summary"/>
    <w:p>
      <w:pPr>
        <w:pStyle w:val="Heading2"/>
      </w:pPr>
      <w:r>
        <w:t xml:space="preserve">3.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(QAR)</w:t>
            </w:r>
          </w:p>
        </w:tc>
        <w:tc>
          <w:tcPr/>
          <w:p>
            <w:pPr>
              <w:pStyle w:val="Compact"/>
              <w:jc w:val="right"/>
            </w:pPr>
            <w:r>
              <w:t xml:space="preserve">2,263,900</w:t>
            </w:r>
          </w:p>
        </w:tc>
      </w:tr>
      <w:tr>
        <w:tc>
          <w:tcPr/>
          <w:p>
            <w:pPr>
              <w:pStyle w:val="Compact"/>
              <w:jc w:val="left"/>
            </w:pPr>
            <w:r>
              <w:t xml:space="preserve">VAT @ 0% (exempt medical services under Qatar VAT Law)</w:t>
            </w:r>
          </w:p>
        </w:tc>
        <w:tc>
          <w:tcPr/>
          <w:p>
            <w:pPr>
              <w:pStyle w:val="Compact"/>
              <w:jc w:val="right"/>
            </w:pPr>
            <w:r>
              <w:t xml:space="preserve">0</w:t>
            </w:r>
          </w:p>
        </w:tc>
      </w:tr>
      <w:tr>
        <w:tc>
          <w:tcPr/>
          <w:p>
            <w:pPr>
              <w:pStyle w:val="Compact"/>
              <w:jc w:val="left"/>
            </w:pPr>
            <w:r>
              <w:rPr>
                <w:bCs/>
                <w:b/>
              </w:rPr>
              <w:t xml:space="preserve">Grand Total (QAR)</w:t>
            </w:r>
          </w:p>
        </w:tc>
        <w:tc>
          <w:tcPr/>
          <w:p>
            <w:pPr>
              <w:pStyle w:val="Compact"/>
              <w:jc w:val="right"/>
            </w:pPr>
            <w:r>
              <w:rPr>
                <w:bCs/>
                <w:b/>
              </w:rPr>
              <w:t xml:space="preserve">2,263,900</w:t>
            </w:r>
          </w:p>
        </w:tc>
      </w:tr>
      <w:tr>
        <w:tc>
          <w:tcPr/>
          <w:p>
            <w:pPr>
              <w:pStyle w:val="Compact"/>
              <w:jc w:val="left"/>
            </w:pPr>
            <w:r>
              <w:rPr>
                <w:iCs/>
                <w:i/>
              </w:rPr>
              <w:t xml:space="preserve">Grand Total in USD (approx. at 3.64 QAR/USD)</w:t>
            </w:r>
          </w:p>
        </w:tc>
        <w:tc>
          <w:tcPr/>
          <w:p>
            <w:pPr>
              <w:pStyle w:val="Compact"/>
              <w:jc w:val="right"/>
            </w:pPr>
            <w:r>
              <w:rPr>
                <w:iCs/>
                <w:i/>
              </w:rPr>
              <w:t xml:space="preserve">621,950</w:t>
            </w:r>
          </w:p>
        </w:tc>
      </w:tr>
    </w:tbl>
    <w:bookmarkEnd w:id="25"/>
    <w:bookmarkStart w:id="26" w:name="surgeon-qualification-requirements"/>
    <w:p>
      <w:pPr>
        <w:pStyle w:val="Heading2"/>
      </w:pPr>
      <w:r>
        <w:t xml:space="preserve">4. Surgeon Qualification Requirements</w:t>
      </w:r>
    </w:p>
    <w:p>
      <w:pPr>
        <w:pStyle w:val="FirstParagraph"/>
      </w:pPr>
      <w:r>
        <w:t xml:space="preserve">The</w:t>
      </w:r>
      <w:r>
        <w:t xml:space="preserve"> </w:t>
      </w:r>
      <w:r>
        <w:t xml:space="preserve">Surgeon</w:t>
      </w:r>
      <w:r>
        <w:t xml:space="preserve"> </w:t>
      </w:r>
      <w:r>
        <w:t xml:space="preserve">proposed under this</w:t>
      </w:r>
      <w:r>
        <w:t xml:space="preserve"> </w:t>
      </w:r>
      <w:r>
        <w:t xml:space="preserve">Quotation Estimate</w:t>
      </w:r>
      <w:r>
        <w:t xml:space="preserve"> </w:t>
      </w:r>
      <w:r>
        <w:t xml:space="preserve">shall meet the following minimum criteria to ensure compliance with Qatar Doha healthcare regulations:</w:t>
      </w:r>
    </w:p>
    <w:p>
      <w:pPr>
        <w:numPr>
          <w:ilvl w:val="0"/>
          <w:numId w:val="1001"/>
        </w:numPr>
        <w:pStyle w:val="Compact"/>
      </w:pPr>
      <w:r>
        <w:t xml:space="preserve">Recognized medical degree (MBBS/MD) from a WHO-listed institution.</w:t>
      </w:r>
    </w:p>
    <w:p>
      <w:pPr>
        <w:numPr>
          <w:ilvl w:val="0"/>
          <w:numId w:val="1001"/>
        </w:numPr>
        <w:pStyle w:val="Compact"/>
      </w:pPr>
      <w:r>
        <w:t xml:space="preserve">Board certification in General Surgery or Vascular Surgery from a recognized body (FRCS, FACS, or equivalent).</w:t>
      </w:r>
    </w:p>
    <w:p>
      <w:pPr>
        <w:numPr>
          <w:ilvl w:val="0"/>
          <w:numId w:val="1001"/>
        </w:numPr>
        <w:pStyle w:val="Compact"/>
      </w:pPr>
      <w:r>
        <w:t xml:space="preserve">Minimum ten (10) years of post-qualification surgical experience, with at least five (5) years in a tertiary care hospital.</w:t>
      </w:r>
    </w:p>
    <w:p>
      <w:pPr>
        <w:numPr>
          <w:ilvl w:val="0"/>
          <w:numId w:val="1001"/>
        </w:numPr>
        <w:pStyle w:val="Compact"/>
      </w:pPr>
      <w:r>
        <w:t xml:space="preserve">Valid, unrestricted medical license in the home country.</w:t>
      </w:r>
    </w:p>
    <w:p>
      <w:pPr>
        <w:numPr>
          <w:ilvl w:val="0"/>
          <w:numId w:val="1001"/>
        </w:numPr>
        <w:pStyle w:val="Compact"/>
      </w:pPr>
      <w:r>
        <w:t xml:space="preserve">English proficiency (IELTS 7.0 or OET B in all bands) as required for practice in Qatar Doha.</w:t>
      </w:r>
    </w:p>
    <w:p>
      <w:pPr>
        <w:numPr>
          <w:ilvl w:val="0"/>
          <w:numId w:val="1001"/>
        </w:numPr>
        <w:pStyle w:val="Compact"/>
      </w:pPr>
      <w:r>
        <w:t xml:space="preserve">Clear criminal background check and no disciplinary actions on record.</w:t>
      </w:r>
    </w:p>
    <w:p>
      <w:pPr>
        <w:numPr>
          <w:ilvl w:val="0"/>
          <w:numId w:val="1001"/>
        </w:numPr>
        <w:pStyle w:val="Compact"/>
      </w:pPr>
      <w:r>
        <w:t xml:space="preserve">Willingness to work a schedule of 48–56 hours per week, including on-call rotations for emergency surgical cases.</w:t>
      </w:r>
    </w:p>
    <w:bookmarkEnd w:id="26"/>
    <w:bookmarkStart w:id="27" w:name="X985eb999f0cfcda5f1af1a675bf0b7c2e0a6c64"/>
    <w:p>
      <w:pPr>
        <w:pStyle w:val="Heading2"/>
      </w:pPr>
      <w:r>
        <w:t xml:space="preserve">5.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subject to revision due to currency fluctuation or regulatory changes in Qatar Doha.</w:t>
      </w:r>
    </w:p>
    <w:p>
      <w:pPr>
        <w:numPr>
          <w:ilvl w:val="0"/>
          <w:numId w:val="1002"/>
        </w:numPr>
        <w:pStyle w:val="Compact"/>
      </w:pPr>
      <w:r>
        <w:t xml:space="preserve">Payment terms: 30% advance upon acceptance of this Quotation Estimate; 40% upon successful MoPH licensing and visa issuance for the Surgeon; 30% upon the Surgeon's physical arrival and commencement of duties in Qatar Doha.</w:t>
      </w:r>
    </w:p>
    <w:p>
      <w:pPr>
        <w:numPr>
          <w:ilvl w:val="0"/>
          <w:numId w:val="1002"/>
        </w:numPr>
        <w:pStyle w:val="Compact"/>
      </w:pPr>
      <w:r>
        <w:t xml:space="preserve">All payments shall be made in Qatari Riyals (QAR) via bank transfer to the account of MediCare International Staffing Solutions W.L.L., Bank of Qatar, Doha Branch.</w:t>
      </w:r>
    </w:p>
    <w:p>
      <w:pPr>
        <w:numPr>
          <w:ilvl w:val="0"/>
          <w:numId w:val="1002"/>
        </w:numPr>
        <w:pStyle w:val="Compact"/>
      </w:pPr>
      <w:r>
        <w:t xml:space="preserve">The agency shall bear full responsibility for the legal employment relationship with the Surgeon, including compliance with Qatar Labour Law (Law No. 14 of 2004) and Qatar Doha municipal regulations.</w:t>
      </w:r>
    </w:p>
    <w:p>
      <w:pPr>
        <w:numPr>
          <w:ilvl w:val="0"/>
          <w:numId w:val="1002"/>
        </w:numPr>
        <w:pStyle w:val="Compact"/>
      </w:pPr>
      <w:r>
        <w:t xml:space="preserve">In the event of early termination by the client without cause, a pro-rata refund of unused monthly fees will be issued, less any non-recoverable immigration and licensing costs already incurred for the Surgeon.</w:t>
      </w:r>
    </w:p>
    <w:p>
      <w:pPr>
        <w:numPr>
          <w:ilvl w:val="0"/>
          <w:numId w:val="1002"/>
        </w:numPr>
        <w:pStyle w:val="Compact"/>
      </w:pPr>
      <w:r>
        <w:t xml:space="preserve">This Quotation Estimate does not include the cost of surgical instruments, operating theatre consumables, or hospital infrastructure, which remain the sole responsibility of the client facility in Qatar Doha.</w:t>
      </w:r>
    </w:p>
    <w:p>
      <w:pPr>
        <w:numPr>
          <w:ilvl w:val="0"/>
          <w:numId w:val="1002"/>
        </w:numPr>
        <w:pStyle w:val="Compact"/>
      </w:pPr>
      <w:r>
        <w:t xml:space="preserve">Any changes to the scope of services, contract duration, or Surgeon specialty must be documented in a written amendment signed by both parties before implementation.</w:t>
      </w:r>
    </w:p>
    <w:p>
      <w:pPr>
        <w:numPr>
          <w:ilvl w:val="0"/>
          <w:numId w:val="1002"/>
        </w:numPr>
        <w:pStyle w:val="Compact"/>
      </w:pPr>
      <w:r>
        <w:t xml:space="preserve">Disputes arising from this Quotation Estimate shall be resolved through arbitration in Doha, Qatar, in accordance with the Qatar Arbitration Law.</w:t>
      </w:r>
    </w:p>
    <w:bookmarkEnd w:id="27"/>
    <w:bookmarkStart w:id="28" w:name="acceptance-and-authorization"/>
    <w:p>
      <w:pPr>
        <w:pStyle w:val="Heading2"/>
      </w:pPr>
      <w:r>
        <w:t xml:space="preserve">6. 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for the deployment of a</w:t>
      </w:r>
      <w:r>
        <w:t xml:space="preserve"> </w:t>
      </w:r>
      <w:r>
        <w:t xml:space="preserve">Surgeon</w:t>
      </w:r>
      <w:r>
        <w:t xml:space="preserve"> </w:t>
      </w:r>
      <w:r>
        <w:t xml:space="preserve">in</w:t>
      </w:r>
      <w:r>
        <w:t xml:space="preserve"> </w:t>
      </w:r>
      <w:r>
        <w:t xml:space="preserve">Qatar Doha</w:t>
      </w:r>
      <w:r>
        <w:t xml:space="preserve"> </w:t>
      </w:r>
      <w:r>
        <w:t xml:space="preserve">under the terms and conditions outlined herein.</w:t>
      </w:r>
    </w:p>
    <w:p>
      <w:pPr>
        <w:pStyle w:val="BodyText"/>
      </w:pPr>
      <w:r>
        <w:rPr>
          <w:bCs/>
          <w:b/>
        </w:rPr>
        <w:t xml:space="preserve">For and on behalf of the Client:</w:t>
      </w:r>
    </w:p>
    <w:p>
      <w:pPr>
        <w:pStyle w:val="BodyText"/>
      </w:pPr>
      <w:r>
        <w:t xml:space="preserve">Al Rayyan Medical Group</w:t>
      </w:r>
    </w:p>
    <w:p>
      <w:pPr>
        <w:pStyle w:val="BodyText"/>
      </w:pPr>
      <w:r>
        <w:t xml:space="preserve">Name / Signature / Date</w:t>
      </w:r>
    </w:p>
    <w:p>
      <w:pPr>
        <w:pStyle w:val="BodyText"/>
      </w:pPr>
      <w:r>
        <w:rPr>
          <w:bCs/>
          <w:b/>
        </w:rPr>
        <w:t xml:space="preserve">For and on behalf of the Agency:</w:t>
      </w:r>
    </w:p>
    <w:p>
      <w:pPr>
        <w:pStyle w:val="BodyText"/>
      </w:pPr>
      <w:r>
        <w:t xml:space="preserve">MediCare International Staffing Solutions W.L.L.</w:t>
      </w:r>
    </w:p>
    <w:p>
      <w:pPr>
        <w:pStyle w:val="BodyText"/>
      </w:pPr>
      <w:r>
        <w:t xml:space="preserve">Name / Signature / Date</w:t>
      </w:r>
    </w:p>
    <w:p>
      <w:pPr>
        <w:pStyle w:val="BodyText"/>
      </w:pPr>
      <w:r>
        <w:t xml:space="preserve">MediCare International Staffing Solutions W.L.L. | Doha, Qatar | This Quotation Estimate is confidential and intended solely for the named recipient.</w:t>
      </w:r>
    </w:p>
    <w:p>
      <w:pPr>
        <w:pStyle w:val="BodyText"/>
      </w:pPr>
      <w:r>
        <w:t xml:space="preserve">Page 1 of 1 | Document Ref: QTE-2025-QD-0487</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Qatar Doha</dc:title>
  <dc:creator/>
  <dc:language>en</dc:language>
  <cp:keywords/>
  <dcterms:created xsi:type="dcterms:W3CDTF">2026-10-10T02:39:32Z</dcterms:created>
  <dcterms:modified xsi:type="dcterms:W3CDTF">2026-10-10T02:39:32Z</dcterms:modified>
</cp:coreProperties>
</file>

<file path=docProps/custom.xml><?xml version="1.0" encoding="utf-8"?>
<Properties xmlns="http://schemas.openxmlformats.org/officeDocument/2006/custom-properties" xmlns:vt="http://schemas.openxmlformats.org/officeDocument/2006/docPropsVTypes"/>
</file>