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quotation-estimate"/>
    <w:p>
      <w:pPr>
        <w:pStyle w:val="Heading1"/>
      </w:pPr>
      <w:r>
        <w:t xml:space="preserve">Quotation Estimate</w:t>
      </w:r>
    </w:p>
    <w:p>
      <w:pPr>
        <w:pStyle w:val="FirstParagraph"/>
      </w:pPr>
      <w:r>
        <w:rPr>
          <w:bCs/>
          <w:b/>
        </w:rPr>
        <w:t xml:space="preserve">Al-Nil Medical Services &amp; Surgical Consultancy</w:t>
      </w:r>
    </w:p>
    <w:p>
      <w:pPr>
        <w:pStyle w:val="BodyText"/>
      </w:pPr>
      <w:r>
        <w:t xml:space="preserve">Office 12, El-Mahdi Street, Omdurman District, Sudan Khartoum</w:t>
      </w:r>
    </w:p>
    <w:p>
      <w:pPr>
        <w:pStyle w:val="BodyText"/>
      </w:pPr>
      <w:r>
        <w:t xml:space="preserve">Tel: +249-183-555-0142 | Email: quotations@alnilmedical.sd</w:t>
      </w:r>
    </w:p>
    <w:p>
      <w:pPr>
        <w:pStyle w:val="BodyText"/>
      </w:pPr>
      <w:r>
        <w:t xml:space="preserve">Commercial Registration No. 2019/SD/44782 | VAT Reg. No. 100-234-5678</w:t>
      </w:r>
    </w:p>
    <w:bookmarkEnd w:id="20"/>
    <w:p>
      <w:pPr>
        <w:pStyle w:val="BodyText"/>
      </w:pPr>
      <w:r>
        <w:rPr>
          <w:bCs/>
          <w:b/>
        </w:rPr>
        <w:t xml:space="preserve">Quotation Estimate No.:</w:t>
      </w:r>
      <w:r>
        <w:t xml:space="preserve"> </w:t>
      </w:r>
      <w:r>
        <w:t xml:space="preserve">QTE-2025-0783</w:t>
      </w:r>
      <w:r>
        <w:br/>
      </w:r>
      <w:r>
        <w:rPr>
          <w:bCs/>
          <w:b/>
        </w:rPr>
        <w:t xml:space="preserve">Date of Issue:</w:t>
      </w:r>
      <w:r>
        <w:t xml:space="preserve"> </w:t>
      </w:r>
      <w:r>
        <w:t xml:space="preserve">14 June 2025</w:t>
      </w:r>
      <w:r>
        <w:br/>
      </w:r>
      <w:r>
        <w:rPr>
          <w:bCs/>
          <w:b/>
        </w:rPr>
        <w:t xml:space="preserve">Validity Period:</w:t>
      </w:r>
      <w:r>
        <w:t xml:space="preserve"> </w:t>
      </w:r>
      <w:r>
        <w:t xml:space="preserve">30 days from issue date</w:t>
      </w:r>
    </w:p>
    <w:p>
      <w:pPr>
        <w:pStyle w:val="BodyText"/>
      </w:pPr>
      <w:r>
        <w:rPr>
          <w:bCs/>
          <w:b/>
        </w:rPr>
        <w:t xml:space="preserve">Prepared For:</w:t>
      </w:r>
      <w:r>
        <w:br/>
      </w:r>
      <w:r>
        <w:t xml:space="preserve">Al-Rahma General Hospital</w:t>
      </w:r>
      <w:r>
        <w:br/>
      </w:r>
      <w:r>
        <w:t xml:space="preserve">El-Khatim Street, Khartoum North</w:t>
      </w:r>
      <w:r>
        <w:br/>
      </w:r>
      <w:r>
        <w:t xml:space="preserve">Sudan Khartoum</w:t>
      </w:r>
      <w:r>
        <w:br/>
      </w:r>
      <w:r>
        <w:t xml:space="preserve">Attn: Dr. Ibrahim El-Tahir, Chief Medical Officer</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Al-Nil Medical Services &amp; Surgical Consultancy to Al-Rahma General Hospital, Sudan Khartoum, in response to the hospital's Request for Proposal (RFP Ref. RFP-2025-034) dated 28 May 2025. The purpose of this document is to provide a comprehensive, itemized, and transparent cost breakdown for the engagement of a</w:t>
      </w:r>
      <w:r>
        <w:t xml:space="preserve"> </w:t>
      </w:r>
      <w:r>
        <w:t xml:space="preserve">Surgeon</w:t>
      </w:r>
      <w:r>
        <w:t xml:space="preserve"> </w:t>
      </w:r>
      <w:r>
        <w:t xml:space="preserve">to deliver specialized surgical services at the hospital's main facility located in Sudan Khartoum. All pricing, terms, and conditions outlined herein are binding upon acceptance and are subject to the regulatory framework of the Sudanese Ministry of Health and the Sudanese Medical Association.</w:t>
      </w:r>
    </w:p>
    <w:bookmarkEnd w:id="21"/>
    <w:bookmarkStart w:id="22" w:name="surgeon-profile-and-qualifications"/>
    <w:p>
      <w:pPr>
        <w:pStyle w:val="Heading2"/>
      </w:pPr>
      <w:r>
        <w:t xml:space="preserve">2. Surgeon Profile and Qualifications</w:t>
      </w:r>
    </w:p>
    <w:p>
      <w:pPr>
        <w:pStyle w:val="FirstParagraph"/>
      </w:pPr>
      <w:r>
        <w:t xml:space="preserve">The</w:t>
      </w:r>
      <w:r>
        <w:t xml:space="preserve"> </w:t>
      </w:r>
      <w:r>
        <w:t xml:space="preserve">Surgeon</w:t>
      </w:r>
      <w:r>
        <w:t xml:space="preserve"> </w:t>
      </w:r>
      <w:r>
        <w:t xml:space="preserve">proposed for engagement under this</w:t>
      </w:r>
      <w:r>
        <w:t xml:space="preserve"> </w:t>
      </w:r>
      <w:r>
        <w:t xml:space="preserve">Quotation Estimate</w:t>
      </w:r>
      <w:r>
        <w:t xml:space="preserve"> </w:t>
      </w:r>
      <w:r>
        <w:t xml:space="preserve">is Dr. Fatima El-Sayed, a board-certified General and Vascular Surgeon with over fourteen (14) years of clinical experience. Her qualifications include a Bachelor of Medicine and Surgery (MBChB) from the University of Khartoum, a Master's degree in Surgical Sciences from the University of Edinburgh, and a Fellowship in Vascular Surgery from the Royal College of Surgeons of Edinburgh. Dr. El-Sayed is a registered member of the Sudanese Medical Association and holds an active practicing license issued by the Sudanese Ministry of Health, valid through December 2026. She has previously served as Lead Surgeon at El-Damazin Teaching Hospital and has performed over 3,200 surgical procedures across general, vascular, and emergency surgery disciplines.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(SDG)</w:t>
            </w:r>
          </w:p>
        </w:tc>
        <w:tc>
          <w:tcPr/>
          <w:p>
            <w:pPr>
              <w:pStyle w:val="Compact"/>
              <w:jc w:val="left"/>
            </w:pPr>
            <w:r>
              <w:t xml:space="preserve">Total (SDG)</w:t>
            </w:r>
          </w:p>
        </w:tc>
        <w:tc>
          <w:tcPr/>
          <w:p>
            <w:pPr>
              <w:pStyle w:val="Compact"/>
              <w:jc w:val="left"/>
            </w:pPr>
            <w:r>
              <w:t xml:space="preserve">Notes</w:t>
            </w:r>
          </w:p>
        </w:tc>
      </w:tr>
      <w:tr>
        <w:tc>
          <w:tcPr/>
          <w:p>
            <w:pPr>
              <w:pStyle w:val="Compact"/>
              <w:jc w:val="left"/>
            </w:pPr>
            <w:r>
              <w:t xml:space="preserve">3.1</w:t>
            </w:r>
          </w:p>
        </w:tc>
        <w:tc>
          <w:tcPr/>
          <w:p>
            <w:pPr>
              <w:pStyle w:val="Compact"/>
              <w:jc w:val="left"/>
            </w:pPr>
            <w:r>
              <w:t xml:space="preserve">Monthly surgical consultation and inpatient ward rounds by the Surgeon</w:t>
            </w:r>
          </w:p>
        </w:tc>
        <w:tc>
          <w:tcPr/>
          <w:p>
            <w:pPr>
              <w:pStyle w:val="Compact"/>
              <w:jc w:val="left"/>
            </w:pPr>
            <w:r>
              <w:t xml:space="preserve">5 days/week, 8 hrs/day</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Per month</w:t>
            </w:r>
          </w:p>
        </w:tc>
      </w:tr>
      <w:tr>
        <w:tc>
          <w:tcPr/>
          <w:p>
            <w:pPr>
              <w:pStyle w:val="Compact"/>
              <w:jc w:val="left"/>
            </w:pPr>
            <w:r>
              <w:t xml:space="preserve">3.2</w:t>
            </w:r>
          </w:p>
        </w:tc>
        <w:tc>
          <w:tcPr/>
          <w:p>
            <w:pPr>
              <w:pStyle w:val="Compact"/>
              <w:jc w:val="left"/>
            </w:pPr>
            <w:r>
              <w:t xml:space="preserve">Elective surgical procedures (general, abdominal, vascular)</w:t>
            </w:r>
          </w:p>
        </w:tc>
        <w:tc>
          <w:tcPr/>
          <w:p>
            <w:pPr>
              <w:pStyle w:val="Compact"/>
              <w:jc w:val="left"/>
            </w:pPr>
            <w:r>
              <w:t xml:space="preserve">Up to 40 procedures/month</w:t>
            </w:r>
          </w:p>
        </w:tc>
        <w:tc>
          <w:tcPr/>
          <w:p>
            <w:pPr>
              <w:pStyle w:val="Compact"/>
              <w:jc w:val="left"/>
            </w:pPr>
            <w:r>
              <w:t xml:space="preserve">12,500</w:t>
            </w:r>
          </w:p>
        </w:tc>
        <w:tc>
          <w:tcPr/>
          <w:p>
            <w:pPr>
              <w:pStyle w:val="Compact"/>
              <w:jc w:val="left"/>
            </w:pPr>
            <w:r>
              <w:t xml:space="preserve">500,000</w:t>
            </w:r>
          </w:p>
        </w:tc>
        <w:tc>
          <w:tcPr/>
          <w:p>
            <w:pPr>
              <w:pStyle w:val="Compact"/>
              <w:jc w:val="left"/>
            </w:pPr>
            <w:r>
              <w:t xml:space="preserve">Per procedure</w:t>
            </w:r>
          </w:p>
        </w:tc>
      </w:tr>
      <w:tr>
        <w:tc>
          <w:tcPr/>
          <w:p>
            <w:pPr>
              <w:pStyle w:val="Compact"/>
              <w:jc w:val="left"/>
            </w:pPr>
            <w:r>
              <w:t xml:space="preserve">3.3</w:t>
            </w:r>
          </w:p>
        </w:tc>
        <w:tc>
          <w:tcPr/>
          <w:p>
            <w:pPr>
              <w:pStyle w:val="Compact"/>
              <w:jc w:val="left"/>
            </w:pPr>
            <w:r>
              <w:t xml:space="preserve">Emergency surgical interventions (on-call, 24/7 coverage)</w:t>
            </w:r>
          </w:p>
        </w:tc>
        <w:tc>
          <w:tcPr/>
          <w:p>
            <w:pPr>
              <w:pStyle w:val="Compact"/>
              <w:jc w:val="left"/>
            </w:pPr>
            <w:r>
              <w:t xml:space="preserve">Continuous availability</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Per month</w:t>
            </w:r>
          </w:p>
        </w:tc>
      </w:tr>
      <w:tr>
        <w:tc>
          <w:tcPr/>
          <w:p>
            <w:pPr>
              <w:pStyle w:val="Compact"/>
              <w:jc w:val="left"/>
            </w:pPr>
            <w:r>
              <w:t xml:space="preserve">3.4</w:t>
            </w:r>
          </w:p>
        </w:tc>
        <w:tc>
          <w:tcPr/>
          <w:p>
            <w:pPr>
              <w:pStyle w:val="Compact"/>
              <w:jc w:val="left"/>
            </w:pPr>
            <w:r>
              <w:t xml:space="preserve">Post-operative follow-up and wound management</w:t>
            </w:r>
          </w:p>
        </w:tc>
        <w:tc>
          <w:tcPr/>
          <w:p>
            <w:pPr>
              <w:pStyle w:val="Compact"/>
              <w:jc w:val="left"/>
            </w:pPr>
            <w:r>
              <w:t xml:space="preserve">As required</w:t>
            </w:r>
          </w:p>
        </w:tc>
        <w:tc>
          <w:tcPr/>
          <w:p>
            <w:pPr>
              <w:pStyle w:val="Compact"/>
              <w:jc w:val="left"/>
            </w:pPr>
            <w:r>
              <w:t xml:space="preserve">4,500</w:t>
            </w:r>
          </w:p>
        </w:tc>
        <w:tc>
          <w:tcPr/>
          <w:p>
            <w:pPr>
              <w:pStyle w:val="Compact"/>
              <w:jc w:val="left"/>
            </w:pPr>
            <w:r>
              <w:t xml:space="preserve">90,000</w:t>
            </w:r>
          </w:p>
        </w:tc>
        <w:tc>
          <w:tcPr/>
          <w:p>
            <w:pPr>
              <w:pStyle w:val="Compact"/>
              <w:jc w:val="left"/>
            </w:pPr>
            <w:r>
              <w:t xml:space="preserve">Up to 20 sessions/month</w:t>
            </w:r>
          </w:p>
        </w:tc>
      </w:tr>
      <w:tr>
        <w:tc>
          <w:tcPr/>
          <w:p>
            <w:pPr>
              <w:pStyle w:val="Compact"/>
              <w:jc w:val="left"/>
            </w:pPr>
            <w:r>
              <w:t xml:space="preserve">3.5</w:t>
            </w:r>
          </w:p>
        </w:tc>
        <w:tc>
          <w:tcPr/>
          <w:p>
            <w:pPr>
              <w:pStyle w:val="Compact"/>
              <w:jc w:val="left"/>
            </w:pPr>
            <w:r>
              <w:t xml:space="preserve">Surgical training and mentorship for junior surgical residents</w:t>
            </w:r>
          </w:p>
        </w:tc>
        <w:tc>
          <w:tcPr/>
          <w:p>
            <w:pPr>
              <w:pStyle w:val="Compact"/>
              <w:jc w:val="left"/>
            </w:pPr>
            <w:r>
              <w:t xml:space="preserve">2 sessions/week</w:t>
            </w:r>
          </w:p>
        </w:tc>
        <w:tc>
          <w:tcPr/>
          <w:p>
            <w:pPr>
              <w:pStyle w:val="Compact"/>
              <w:jc w:val="left"/>
            </w:pPr>
            <w:r>
              <w:t xml:space="preserve">65,000</w:t>
            </w:r>
          </w:p>
        </w:tc>
        <w:tc>
          <w:tcPr/>
          <w:p>
            <w:pPr>
              <w:pStyle w:val="Compact"/>
              <w:jc w:val="left"/>
            </w:pPr>
            <w:r>
              <w:t xml:space="preserve">65,000</w:t>
            </w:r>
          </w:p>
        </w:tc>
        <w:tc>
          <w:tcPr/>
          <w:p>
            <w:pPr>
              <w:pStyle w:val="Compact"/>
              <w:jc w:val="left"/>
            </w:pPr>
            <w:r>
              <w:t xml:space="preserve">Per month</w:t>
            </w:r>
          </w:p>
        </w:tc>
      </w:tr>
      <w:tr>
        <w:tc>
          <w:tcPr/>
          <w:p>
            <w:pPr>
              <w:pStyle w:val="Compact"/>
              <w:jc w:val="left"/>
            </w:pPr>
            <w:r>
              <w:t xml:space="preserve">3.6</w:t>
            </w:r>
          </w:p>
        </w:tc>
        <w:tc>
          <w:tcPr/>
          <w:p>
            <w:pPr>
              <w:pStyle w:val="Compact"/>
              <w:jc w:val="left"/>
            </w:pPr>
            <w:r>
              <w:t xml:space="preserve">Provision of specialized surgical instruments and consumables (initial setup)</w:t>
            </w:r>
          </w:p>
        </w:tc>
        <w:tc>
          <w:tcPr/>
          <w:p>
            <w:pPr>
              <w:pStyle w:val="Compact"/>
              <w:jc w:val="left"/>
            </w:pPr>
            <w:r>
              <w:t xml:space="preserve">One-time</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Amortized over 12 months</w:t>
            </w:r>
          </w:p>
        </w:tc>
      </w:tr>
      <w:tr>
        <w:tc>
          <w:tcPr/>
          <w:p>
            <w:pPr>
              <w:pStyle w:val="Compact"/>
              <w:jc w:val="left"/>
            </w:pPr>
            <w:r>
              <w:t xml:space="preserve">3.7</w:t>
            </w:r>
          </w:p>
        </w:tc>
        <w:tc>
          <w:tcPr/>
          <w:p>
            <w:pPr>
              <w:pStyle w:val="Compact"/>
              <w:jc w:val="left"/>
            </w:pPr>
            <w:r>
              <w:t xml:space="preserve">Monthly surgical consumables (sutures, drapes, gloves, implants)</w:t>
            </w:r>
          </w:p>
        </w:tc>
        <w:tc>
          <w:tcPr/>
          <w:p>
            <w:pPr>
              <w:pStyle w:val="Compact"/>
              <w:jc w:val="left"/>
            </w:pPr>
            <w:r>
              <w:t xml:space="preserve">Monthly replenishment</w:t>
            </w:r>
          </w:p>
        </w:tc>
        <w:tc>
          <w:tcPr/>
          <w:p>
            <w:pPr>
              <w:pStyle w:val="Compact"/>
              <w:jc w:val="left"/>
            </w:pPr>
            <w:r>
              <w:t xml:space="preserve">180,000</w:t>
            </w:r>
          </w:p>
        </w:tc>
        <w:tc>
          <w:tcPr/>
          <w:p>
            <w:pPr>
              <w:pStyle w:val="Compact"/>
              <w:jc w:val="left"/>
            </w:pPr>
            <w:r>
              <w:t xml:space="preserve">180,000</w:t>
            </w:r>
          </w:p>
        </w:tc>
        <w:tc>
          <w:tcPr/>
          <w:p>
            <w:pPr>
              <w:pStyle w:val="Compact"/>
              <w:jc w:val="left"/>
            </w:pPr>
            <w:r>
              <w:t xml:space="preserve">Per month</w:t>
            </w:r>
          </w:p>
        </w:tc>
      </w:tr>
      <w:tr>
        <w:tc>
          <w:tcPr/>
          <w:p>
            <w:pPr>
              <w:pStyle w:val="Compact"/>
              <w:jc w:val="left"/>
            </w:pPr>
            <w:r>
              <w:t xml:space="preserve">3.8</w:t>
            </w:r>
          </w:p>
        </w:tc>
        <w:tc>
          <w:tcPr/>
          <w:p>
            <w:pPr>
              <w:pStyle w:val="Compact"/>
              <w:jc w:val="left"/>
            </w:pPr>
            <w:r>
              <w:t xml:space="preserve">Accommodation and local transportation allowance for the Surgeon in Sudan Khartoum</w:t>
            </w:r>
          </w:p>
        </w:tc>
        <w:tc>
          <w:tcPr/>
          <w:p>
            <w:pPr>
              <w:pStyle w:val="Compact"/>
              <w:jc w:val="left"/>
            </w:pPr>
            <w:r>
              <w:t xml:space="preserve">Monthly</w:t>
            </w:r>
          </w:p>
        </w:tc>
        <w:tc>
          <w:tcPr/>
          <w:p>
            <w:pPr>
              <w:pStyle w:val="Compact"/>
              <w:jc w:val="left"/>
            </w:pPr>
            <w:r>
              <w:t xml:space="preserve">95,000</w:t>
            </w:r>
          </w:p>
        </w:tc>
        <w:tc>
          <w:tcPr/>
          <w:p>
            <w:pPr>
              <w:pStyle w:val="Compact"/>
              <w:jc w:val="left"/>
            </w:pPr>
            <w:r>
              <w:t xml:space="preserve">95,000</w:t>
            </w:r>
          </w:p>
        </w:tc>
        <w:tc>
          <w:tcPr/>
          <w:p>
            <w:pPr>
              <w:pStyle w:val="Compact"/>
              <w:jc w:val="left"/>
            </w:pPr>
            <w:r>
              <w:t xml:space="preserve">Per month</w:t>
            </w:r>
          </w:p>
        </w:tc>
      </w:tr>
      <w:tr>
        <w:tc>
          <w:tcPr/>
          <w:p>
            <w:pPr>
              <w:pStyle w:val="Compact"/>
              <w:jc w:val="left"/>
            </w:pPr>
            <w:r>
              <w:t xml:space="preserve">3.9</w:t>
            </w:r>
          </w:p>
        </w:tc>
        <w:tc>
          <w:tcPr/>
          <w:p>
            <w:pPr>
              <w:pStyle w:val="Compact"/>
              <w:jc w:val="left"/>
            </w:pPr>
            <w:r>
              <w:t xml:space="preserve">Professional medical malpractice insurance (annual premium)</w:t>
            </w:r>
          </w:p>
        </w:tc>
        <w:tc>
          <w:tcPr/>
          <w:p>
            <w:pPr>
              <w:pStyle w:val="Compact"/>
              <w:jc w:val="left"/>
            </w:pPr>
            <w:r>
              <w:t xml:space="preserve">Annual</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One-time annual</w:t>
            </w:r>
          </w:p>
        </w:tc>
      </w:tr>
      <w:tr>
        <w:tc>
          <w:tcPr/>
          <w:p>
            <w:pPr>
              <w:pStyle w:val="Compact"/>
              <w:jc w:val="left"/>
            </w:pPr>
            <w:r>
              <w:t xml:space="preserve">3.10</w:t>
            </w:r>
          </w:p>
        </w:tc>
        <w:tc>
          <w:tcPr/>
          <w:p>
            <w:pPr>
              <w:pStyle w:val="Compact"/>
              <w:jc w:val="left"/>
            </w:pPr>
            <w:r>
              <w:t xml:space="preserve">Administrative and coordination overhead (scheduling, records, reporting)</w:t>
            </w:r>
          </w:p>
        </w:tc>
        <w:tc>
          <w:tcPr/>
          <w:p>
            <w:pPr>
              <w:pStyle w:val="Compact"/>
              <w:jc w:val="left"/>
            </w:pPr>
            <w:r>
              <w:t xml:space="preserve">Monthly</w:t>
            </w:r>
          </w:p>
        </w:tc>
        <w:tc>
          <w:tcPr/>
          <w:p>
            <w:pPr>
              <w:pStyle w:val="Compact"/>
              <w:jc w:val="left"/>
            </w:pPr>
            <w:r>
              <w:t xml:space="preserve">40,000</w:t>
            </w:r>
          </w:p>
        </w:tc>
        <w:tc>
          <w:tcPr/>
          <w:p>
            <w:pPr>
              <w:pStyle w:val="Compact"/>
              <w:jc w:val="left"/>
            </w:pPr>
            <w:r>
              <w:t xml:space="preserve">40,000</w:t>
            </w:r>
          </w:p>
        </w:tc>
        <w:tc>
          <w:tcPr/>
          <w:p>
            <w:pPr>
              <w:pStyle w:val="Compact"/>
              <w:jc w:val="left"/>
            </w:pPr>
            <w:r>
              <w:t xml:space="preserve">Per month</w:t>
            </w:r>
          </w:p>
        </w:tc>
      </w:tr>
      <w:tr>
        <w:tc>
          <w:tcPr>
            <w:gridSpan w:val="4"/>
          </w:tcPr>
          <w:p>
            <w:pPr>
              <w:pStyle w:val="Compact"/>
              <w:jc w:val="left"/>
            </w:pPr>
            <w:r>
              <w:rPr>
                <w:bCs/>
                <w:b/>
              </w:rPr>
              <w:t xml:space="preserve">Subtotal (Monthly Recurring)</w:t>
            </w:r>
          </w:p>
        </w:tc>
        <w:tc>
          <w:tcPr/>
          <w:p>
            <w:pPr>
              <w:pStyle w:val="Compact"/>
              <w:jc w:val="left"/>
            </w:pPr>
            <w:r>
              <w:rPr>
                <w:bCs/>
                <w:b/>
              </w:rPr>
              <w:t xml:space="preserve">1,475,000</w:t>
            </w:r>
          </w:p>
        </w:tc>
        <w:tc>
          <w:tcPr/>
          <w:p>
            <w:pPr>
              <w:pStyle w:val="Compact"/>
            </w:pPr>
          </w:p>
        </w:tc>
      </w:tr>
      <w:tr>
        <w:tc>
          <w:tcPr>
            <w:gridSpan w:val="4"/>
          </w:tcPr>
          <w:p>
            <w:pPr>
              <w:pStyle w:val="Compact"/>
              <w:jc w:val="left"/>
            </w:pPr>
            <w:r>
              <w:rPr>
                <w:bCs/>
                <w:b/>
              </w:rPr>
              <w:t xml:space="preserve">One-Time / Annual Costs</w:t>
            </w:r>
          </w:p>
        </w:tc>
        <w:tc>
          <w:tcPr/>
          <w:p>
            <w:pPr>
              <w:pStyle w:val="Compact"/>
              <w:jc w:val="left"/>
            </w:pPr>
            <w:r>
              <w:rPr>
                <w:bCs/>
                <w:b/>
              </w:rPr>
              <w:t xml:space="preserve">1,700,000</w:t>
            </w:r>
          </w:p>
        </w:tc>
        <w:tc>
          <w:tcPr/>
          <w:p>
            <w:pPr>
              <w:pStyle w:val="Compact"/>
            </w:pPr>
          </w:p>
        </w:tc>
      </w:tr>
      <w:tr>
        <w:tc>
          <w:tcPr>
            <w:gridSpan w:val="4"/>
          </w:tcPr>
          <w:p>
            <w:pPr>
              <w:pStyle w:val="Compact"/>
              <w:jc w:val="left"/>
            </w:pPr>
            <w:r>
              <w:rPr>
                <w:bCs/>
                <w:b/>
              </w:rPr>
              <w:t xml:space="preserve">Grand Total – First 12 Months (SDG)</w:t>
            </w:r>
          </w:p>
        </w:tc>
        <w:tc>
          <w:tcPr/>
          <w:p>
            <w:pPr>
              <w:pStyle w:val="Compact"/>
              <w:jc w:val="left"/>
            </w:pPr>
            <w:r>
              <w:rPr>
                <w:bCs/>
                <w:b/>
              </w:rPr>
              <w:t xml:space="preserve">25,400,000</w:t>
            </w:r>
          </w:p>
        </w:tc>
        <w:tc>
          <w:tcPr/>
          <w:p>
            <w:pPr>
              <w:pStyle w:val="Compact"/>
            </w:pPr>
          </w:p>
        </w:tc>
      </w:tr>
    </w:tbl>
    <w:p>
      <w:pPr>
        <w:pStyle w:val="BodyText"/>
      </w:pPr>
      <w:r>
        <w:rPr>
          <w:bCs/>
          <w:b/>
        </w:rPr>
        <w:t xml:space="preserve">Note:</w:t>
      </w:r>
      <w:r>
        <w:t xml:space="preserve"> </w:t>
      </w:r>
      <w:r>
        <w:t xml:space="preserve">All amounts are quoted in Sudanese Pounds (SDG) and are inclusive of applicable Value Added Tax (VAT) at the prevailing rate of 15% as mandated by the National Revenue Authority of Sudan. Exchange rate fluctuations beyond a 10% threshold will trigger a mutual review of this Quotation Estimate within fourteen (14) business days.</w:t>
      </w:r>
    </w:p>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all prices are subject to revision based on prevailing market conditions in Sudan Khartoum.</w:t>
      </w:r>
    </w:p>
    <w:p>
      <w:pPr>
        <w:numPr>
          <w:ilvl w:val="0"/>
          <w:numId w:val="1001"/>
        </w:numPr>
        <w:pStyle w:val="Compact"/>
      </w:pPr>
      <w:r>
        <w:t xml:space="preserve">Payment terms: 50% of the monthly recurring fee is due on the 1st of each month, and the remaining 50% is due on the 15th. One-time and annual costs are payable within fourteen (14) days of written acceptance of this Quotation Estimate.</w:t>
      </w:r>
    </w:p>
    <w:p>
      <w:pPr>
        <w:numPr>
          <w:ilvl w:val="0"/>
          <w:numId w:val="1001"/>
        </w:numPr>
        <w:pStyle w:val="Compact"/>
      </w:pPr>
      <w:r>
        <w:t xml:space="preserve">The</w:t>
      </w:r>
      <w:r>
        <w:t xml:space="preserve"> </w:t>
      </w:r>
      <w:r>
        <w:t xml:space="preserve">Surgeon</w:t>
      </w:r>
      <w:r>
        <w:t xml:space="preserve"> </w:t>
      </w:r>
      <w:r>
        <w:t xml:space="preserve">shall comply with all clinical protocols, infection control standards, and ethical guidelines established by the Sudanese Ministry of Health and the Sudanese Medical Association.</w:t>
      </w:r>
    </w:p>
    <w:p>
      <w:pPr>
        <w:numPr>
          <w:ilvl w:val="0"/>
          <w:numId w:val="1001"/>
        </w:numPr>
        <w:pStyle w:val="Compact"/>
      </w:pPr>
      <w:r>
        <w:t xml:space="preserve">Either party may terminate the engagement with a written notice of sixty (60) days. In the event of termination, all outstanding invoices for services rendered up to the termination date shall be settled within thirty (30) days.</w:t>
      </w:r>
    </w:p>
    <w:p>
      <w:pPr>
        <w:numPr>
          <w:ilvl w:val="0"/>
          <w:numId w:val="1001"/>
        </w:numPr>
        <w:pStyle w:val="Compact"/>
      </w:pPr>
      <w:r>
        <w:t xml:space="preserve">The</w:t>
      </w:r>
      <w:r>
        <w:t xml:space="preserve"> </w:t>
      </w:r>
      <w:r>
        <w:t xml:space="preserve">Surgeon</w:t>
      </w:r>
      <w:r>
        <w:t xml:space="preserve"> </w:t>
      </w:r>
      <w:r>
        <w:t xml:space="preserve">shall maintain a minimum of 95% availability for scheduled duties. Unplanned absences exceeding three (3) consecutive days must be compensated by a qualified substitute surgeon approved by the hospital administration.</w:t>
      </w:r>
    </w:p>
    <w:p>
      <w:pPr>
        <w:numPr>
          <w:ilvl w:val="0"/>
          <w:numId w:val="1001"/>
        </w:numPr>
        <w:pStyle w:val="Compact"/>
      </w:pPr>
      <w:r>
        <w:t xml:space="preserve">All patient records, surgical reports, and clinical data generated during the engagement shall remain the exclusive property of Al-Rahma General Hospital and shall be stored in accordance with Sudanese data protection regulations.</w:t>
      </w:r>
    </w:p>
    <w:p>
      <w:pPr>
        <w:numPr>
          <w:ilvl w:val="0"/>
          <w:numId w:val="1001"/>
        </w:numPr>
        <w:pStyle w:val="Compact"/>
      </w:pPr>
      <w:r>
        <w:t xml:space="preserve">This Quotation Estimate does not constitute a guarantee of surgical outcomes. The Surgeon's liability is limited to the scope of professional malpractice insurance coverage specified in item 3.9.</w:t>
      </w:r>
    </w:p>
    <w:p>
      <w:pPr>
        <w:numPr>
          <w:ilvl w:val="0"/>
          <w:numId w:val="1001"/>
        </w:numPr>
        <w:pStyle w:val="Compact"/>
      </w:pPr>
      <w:r>
        <w:t xml:space="preserve">Any disputes arising from this Quotation Estimate shall be resolved through mediation under the auspices of the Sudanese Medical Association, and failing resolution within sixty (60) days, through the competent courts of Sudan Khartoum.</w:t>
      </w:r>
    </w:p>
    <w:bookmarkEnd w:id="24"/>
    <w:bookmarkStart w:id="25" w:name="acceptance-and-authorization"/>
    <w:p>
      <w:pPr>
        <w:pStyle w:val="Heading2"/>
      </w:pPr>
      <w:r>
        <w:t xml:space="preserve">5. Acceptance and Authorization</w:t>
      </w:r>
    </w:p>
    <w:p>
      <w:pPr>
        <w:pStyle w:val="FirstParagraph"/>
      </w:pPr>
      <w:r>
        <w:t xml:space="preserve">By signing below, the undersigned parties acknowledge that they have read, understood, and agree to all terms, conditions, and pricing outlined in this</w:t>
      </w:r>
      <w:r>
        <w:t xml:space="preserve"> </w:t>
      </w:r>
      <w:r>
        <w:t xml:space="preserve">Quotation Estimate</w:t>
      </w:r>
      <w:r>
        <w:t xml:space="preserve"> </w:t>
      </w:r>
      <w:r>
        <w:t xml:space="preserve">for the engagement of the</w:t>
      </w:r>
      <w:r>
        <w:t xml:space="preserve"> </w:t>
      </w:r>
      <w:r>
        <w:t xml:space="preserve">Surgeon</w:t>
      </w:r>
      <w:r>
        <w:t xml:space="preserve"> </w:t>
      </w:r>
      <w:r>
        <w:t xml:space="preserve">at the specified facility in</w:t>
      </w:r>
      <w:r>
        <w:t xml:space="preserve"> </w:t>
      </w:r>
      <w:r>
        <w:t xml:space="preserve">Sudan Khartoum</w:t>
      </w:r>
      <w:r>
        <w:t xml:space="preserve">. This document, once countersigned, shall serve as the governing commercial agreement for the duration of the engagement.</w:t>
      </w:r>
    </w:p>
    <w:p>
      <w:pPr>
        <w:pStyle w:val="BodyText"/>
      </w:pPr>
      <w:r>
        <w:rPr>
          <w:bCs/>
          <w:b/>
        </w:rPr>
        <w:t xml:space="preserve">For and on behalf of:</w:t>
      </w:r>
      <w:r>
        <w:br/>
      </w:r>
      <w:r>
        <w:t xml:space="preserve">Al-Nil Medical Services &amp; Surgical Consultancy</w:t>
      </w:r>
    </w:p>
    <w:p>
      <w:pPr>
        <w:pStyle w:val="BodyText"/>
      </w:pPr>
      <w:r>
        <w:t xml:space="preserve">Dr. Fatima El-Sayed</w:t>
      </w:r>
      <w:r>
        <w:br/>
      </w:r>
      <w:r>
        <w:t xml:space="preserve">Lead Surgeon / Authorized Signatory</w:t>
      </w:r>
      <w:r>
        <w:br/>
      </w:r>
      <w:r>
        <w:t xml:space="preserve">Date: _______________</w:t>
      </w:r>
    </w:p>
    <w:p>
      <w:pPr>
        <w:pStyle w:val="BodyText"/>
      </w:pPr>
      <w:r>
        <w:rPr>
          <w:bCs/>
          <w:b/>
        </w:rPr>
        <w:t xml:space="preserve">For and on behalf of:</w:t>
      </w:r>
      <w:r>
        <w:br/>
      </w:r>
      <w:r>
        <w:t xml:space="preserve">Al-Rahma General Hospital, Sudan Khartoum</w:t>
      </w:r>
    </w:p>
    <w:p>
      <w:pPr>
        <w:pStyle w:val="BodyText"/>
      </w:pPr>
      <w:r>
        <w:t xml:space="preserve">Dr. Ibrahim El-Tahir</w:t>
      </w:r>
      <w:r>
        <w:br/>
      </w:r>
      <w:r>
        <w:t xml:space="preserve">Chief Medical Officer</w:t>
      </w:r>
      <w:r>
        <w:br/>
      </w:r>
      <w:r>
        <w:t xml:space="preserve">Date: _______________</w:t>
      </w:r>
    </w:p>
    <w:p>
      <w:pPr>
        <w:pStyle w:val="BodyText"/>
      </w:pPr>
      <w:r>
        <w:t xml:space="preserve">Quotation Estimate No. QTE-2025-0783 | Al-Nil Medical Services &amp; Surgical Consultancy | Sudan Khartoum</w:t>
      </w:r>
    </w:p>
    <w:p>
      <w:pPr>
        <w:pStyle w:val="BodyText"/>
      </w:pPr>
      <w:r>
        <w:t xml:space="preserve">This document is confidential and intended solely for the named recipient. Unauthorized reproduction or distribution is prohibited.</w:t>
      </w:r>
    </w:p>
    <w:p>
      <w:pPr>
        <w:pStyle w:val="BodyText"/>
      </w:pPr>
      <w:r>
        <w:t xml:space="preserve">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Surgeon Services - Sudan Khartoum</dc:title>
  <dc:creator/>
  <dc:language>en</dc:language>
  <cp:keywords/>
  <dcterms:created xsi:type="dcterms:W3CDTF">2026-10-10T03:02:25Z</dcterms:created>
  <dcterms:modified xsi:type="dcterms:W3CDTF">2026-10-10T03:02:25Z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