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Systems Engineer Services</w:t>
      </w:r>
    </w:p>
    <w:p>
      <w:pPr>
        <w:pStyle w:val="BodyText"/>
      </w:pPr>
      <w:r>
        <w:t xml:space="preserve">Algeria Algiers — Official Business Document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QE-ALG-2025-0047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Prepared By:</w:t>
            </w:r>
          </w:p>
        </w:tc>
        <w:tc>
          <w:tcPr/>
          <w:p>
            <w:pPr>
              <w:pStyle w:val="Compact"/>
              <w:jc w:val="left"/>
            </w:pPr>
            <w:r>
              <w:t xml:space="preserve">TechnoSys Algeria SARL — 12, Rue Didouche Mourad, Hydra, Algiers, Algeria</w:t>
            </w:r>
          </w:p>
        </w:tc>
      </w:tr>
      <w:tr>
        <w:tc>
          <w:tcPr/>
          <w:p>
            <w:pPr>
              <w:pStyle w:val="Compact"/>
              <w:jc w:val="left"/>
            </w:pPr>
            <w:r>
              <w:t xml:space="preserve">Prepared For:</w:t>
            </w:r>
          </w:p>
        </w:tc>
        <w:tc>
          <w:tcPr/>
          <w:p>
            <w:pPr>
              <w:pStyle w:val="Compact"/>
              <w:jc w:val="left"/>
            </w:pPr>
            <w:r>
              <w:t xml:space="preserve">[Client Name / Organization], Algiers, Algeria</w:t>
            </w:r>
          </w:p>
        </w:tc>
      </w:tr>
      <w:tr>
        <w:tc>
          <w:tcPr/>
          <w:p>
            <w:pPr>
              <w:pStyle w:val="Compact"/>
              <w:jc w:val="left"/>
            </w:pPr>
            <w:r>
              <w:t xml:space="preserve">Project Location:</w:t>
            </w:r>
          </w:p>
        </w:tc>
        <w:tc>
          <w:tcPr/>
          <w:p>
            <w:pPr>
              <w:pStyle w:val="Compact"/>
              <w:jc w:val="left"/>
            </w:pPr>
            <w:r>
              <w:t xml:space="preserve">Algeria Algiers — Client Premises, Cite 2000 Logements, Bab Ezzouar</w:t>
            </w:r>
          </w:p>
        </w:tc>
      </w:tr>
      <w:tr>
        <w:tc>
          <w:tcPr/>
          <w:p>
            <w:pPr>
              <w:pStyle w:val="Compact"/>
              <w:jc w:val="left"/>
            </w:pPr>
            <w:r>
              <w:t xml:space="preserve">Currency:</w:t>
            </w:r>
          </w:p>
        </w:tc>
        <w:tc>
          <w:tcPr/>
          <w:p>
            <w:pPr>
              <w:pStyle w:val="Compact"/>
              <w:jc w:val="left"/>
            </w:pPr>
            <w:r>
              <w:t xml:space="preserve">Algerian Dinar (DZD) / US Dollar (USD)</w:t>
            </w:r>
          </w:p>
        </w:tc>
      </w:tr>
    </w:tbl>
    <w:p>
      <w:pPr>
        <w:pStyle w:val="BodyText"/>
      </w:pPr>
      <w:r>
        <w:t xml:space="preserve">1. Executive Summary</w:t>
      </w:r>
    </w:p>
    <w:p>
      <w:pPr>
        <w:pStyle w:val="BodyText"/>
      </w:pPr>
      <w:r>
        <w:t xml:space="preserve">This</w:t>
      </w:r>
      <w:r>
        <w:t xml:space="preserve"> </w:t>
      </w:r>
      <w:r>
        <w:t xml:space="preserve">Quotation Estimate</w:t>
      </w:r>
      <w:r>
        <w:t xml:space="preserve"> </w:t>
      </w:r>
      <w:r>
        <w:t xml:space="preserve">is formally issued by TechnoSys Algeria SARL to provide a comprehensive and transparent cost breakdown for the engagement of a certified</w:t>
      </w:r>
      <w:r>
        <w:t xml:space="preserve"> </w:t>
      </w:r>
      <w:r>
        <w:t xml:space="preserve">Systems Engineer</w:t>
      </w:r>
      <w:r>
        <w:t xml:space="preserve"> </w:t>
      </w:r>
      <w:r>
        <w:t xml:space="preserve">to deliver end-to-end infrastructure design, deployment, and maintenance services at the client's operational site in</w:t>
      </w:r>
      <w:r>
        <w:t xml:space="preserve"> </w:t>
      </w:r>
      <w:r>
        <w:t xml:space="preserve">Algeria Algiers</w:t>
      </w:r>
      <w:r>
        <w:t xml:space="preserve">. This document serves as the official pricing reference for all professional services, hardware procurement, software licensing, and ongoing technical support associated with the Systems Engineer engagement. All figures presented herein are based on current market rates applicable to the Algeria Algiers technology sector as of the date of issue.</w:t>
      </w:r>
    </w:p>
    <w:p>
      <w:pPr>
        <w:pStyle w:val="BodyText"/>
      </w:pPr>
      <w:r>
        <w:t xml:space="preserve">2. Scope of Work — Systems Engineer Services</w:t>
      </w:r>
    </w:p>
    <w:p>
      <w:pPr>
        <w:pStyle w:val="BodyText"/>
      </w:pPr>
      <w:r>
        <w:t xml:space="preserve">The</w:t>
      </w:r>
      <w:r>
        <w:t xml:space="preserve"> </w:t>
      </w:r>
      <w:r>
        <w:t xml:space="preserve">Systems Engineer</w:t>
      </w:r>
      <w:r>
        <w:t xml:space="preserve"> </w:t>
      </w:r>
      <w:r>
        <w:t xml:space="preserve">assigned to this project will be responsible for the full lifecycle management of the client's IT infrastructure in Algeria Algiers. The scope encompasses the following deliverables:</w:t>
      </w:r>
    </w:p>
    <w:p>
      <w:pPr>
        <w:numPr>
          <w:ilvl w:val="0"/>
          <w:numId w:val="1001"/>
        </w:numPr>
        <w:pStyle w:val="Compact"/>
      </w:pPr>
      <w:r>
        <w:t xml:space="preserve">Complete assessment and audit of the existing server, network, and storage infrastructure at the Algeria Algiers site.</w:t>
      </w:r>
    </w:p>
    <w:p>
      <w:pPr>
        <w:numPr>
          <w:ilvl w:val="0"/>
          <w:numId w:val="1001"/>
        </w:numPr>
        <w:pStyle w:val="Compact"/>
      </w:pPr>
      <w:r>
        <w:t xml:space="preserve">Design and architecture of a scalable, redundant server environment including virtualization (VMware vSphere / Microsoft Hyper-V).</w:t>
      </w:r>
    </w:p>
    <w:p>
      <w:pPr>
        <w:numPr>
          <w:ilvl w:val="0"/>
          <w:numId w:val="1001"/>
        </w:numPr>
        <w:pStyle w:val="Compact"/>
      </w:pPr>
      <w:r>
        <w:t xml:space="preserve">Deployment and configuration of enterprise-grade networking equipment (routers, switches, firewalls) compliant with Algerian telecommunications regulations.</w:t>
      </w:r>
    </w:p>
    <w:p>
      <w:pPr>
        <w:numPr>
          <w:ilvl w:val="0"/>
          <w:numId w:val="1001"/>
        </w:numPr>
        <w:pStyle w:val="Compact"/>
      </w:pPr>
      <w:r>
        <w:t xml:space="preserve">Implementation of a centralized backup and disaster recovery solution with off-site replication.</w:t>
      </w:r>
    </w:p>
    <w:p>
      <w:pPr>
        <w:numPr>
          <w:ilvl w:val="0"/>
          <w:numId w:val="1001"/>
        </w:numPr>
        <w:pStyle w:val="Compact"/>
      </w:pPr>
      <w:r>
        <w:t xml:space="preserve">Installation and hardening of operating systems (Windows Server 2022, Red Hat Enterprise Linux 9) across all designated nodes.</w:t>
      </w:r>
    </w:p>
    <w:p>
      <w:pPr>
        <w:numPr>
          <w:ilvl w:val="0"/>
          <w:numId w:val="1001"/>
        </w:numPr>
        <w:pStyle w:val="Compact"/>
      </w:pPr>
      <w:r>
        <w:t xml:space="preserve">Configuration of Active Directory, Group Policy, and role-based access control frameworks.</w:t>
      </w:r>
    </w:p>
    <w:p>
      <w:pPr>
        <w:numPr>
          <w:ilvl w:val="0"/>
          <w:numId w:val="1001"/>
        </w:numPr>
        <w:pStyle w:val="Compact"/>
      </w:pPr>
      <w:r>
        <w:t xml:space="preserve">Integration of monitoring and alerting tools (Zabbix, PRTG, or SolarWinds) for 24/7 infrastructure visibility.</w:t>
      </w:r>
    </w:p>
    <w:p>
      <w:pPr>
        <w:numPr>
          <w:ilvl w:val="0"/>
          <w:numId w:val="1001"/>
        </w:numPr>
        <w:pStyle w:val="Compact"/>
      </w:pPr>
      <w:r>
        <w:t xml:space="preserve">Documentation of all system configurations, network diagrams, and standard operating procedures.</w:t>
      </w:r>
    </w:p>
    <w:p>
      <w:pPr>
        <w:numPr>
          <w:ilvl w:val="0"/>
          <w:numId w:val="1001"/>
        </w:numPr>
        <w:pStyle w:val="Compact"/>
      </w:pPr>
      <w:r>
        <w:t xml:space="preserve">On-site training sessions for the client's internal IT staff in Algeria Algiers (minimum 3 days).</w:t>
      </w:r>
    </w:p>
    <w:p>
      <w:pPr>
        <w:numPr>
          <w:ilvl w:val="0"/>
          <w:numId w:val="1001"/>
        </w:numPr>
        <w:pStyle w:val="Compact"/>
      </w:pPr>
      <w:r>
        <w:t xml:space="preserve">Post-deployment support and warranty period of 12 months including quarterly health checks.</w:t>
      </w:r>
    </w:p>
    <w:p>
      <w:pPr>
        <w:pStyle w:val="FirstParagraph"/>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Systems Engineer — Senior (15+ years experience) — On-site deployment phase (6 weeks)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13,500</w:t>
            </w:r>
          </w:p>
        </w:tc>
      </w:tr>
      <w:tr>
        <w:tc>
          <w:tcPr/>
          <w:p>
            <w:pPr>
              <w:pStyle w:val="Compact"/>
              <w:jc w:val="left"/>
            </w:pPr>
            <w:r>
              <w:t xml:space="preserve">02</w:t>
            </w:r>
          </w:p>
        </w:tc>
        <w:tc>
          <w:tcPr/>
          <w:p>
            <w:pPr>
              <w:pStyle w:val="Compact"/>
              <w:jc w:val="left"/>
            </w:pPr>
            <w:r>
              <w:t xml:space="preserve">Systems Engineer — Mid-level (8+ years experience) — Configuration &amp; testing phase (4 weeks)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8,800</w:t>
            </w:r>
          </w:p>
        </w:tc>
      </w:tr>
      <w:tr>
        <w:tc>
          <w:tcPr/>
          <w:p>
            <w:pPr>
              <w:pStyle w:val="Compact"/>
              <w:jc w:val="left"/>
            </w:pPr>
            <w:r>
              <w:t xml:space="preserve">03</w:t>
            </w:r>
          </w:p>
        </w:tc>
        <w:tc>
          <w:tcPr/>
          <w:p>
            <w:pPr>
              <w:pStyle w:val="Compact"/>
              <w:jc w:val="left"/>
            </w:pPr>
            <w:r>
              <w:t xml:space="preserve">Enterprise Server Hardware (2x Dell PowerEdge R760, 256GB RAM, 4TB NVMe each)</w:t>
            </w:r>
          </w:p>
        </w:tc>
        <w:tc>
          <w:tcPr/>
          <w:p>
            <w:pPr>
              <w:pStyle w:val="Compact"/>
              <w:jc w:val="left"/>
            </w:pPr>
            <w:r>
              <w:t xml:space="preserve">2</w:t>
            </w:r>
          </w:p>
        </w:tc>
        <w:tc>
          <w:tcPr/>
          <w:p>
            <w:pPr>
              <w:pStyle w:val="Compact"/>
              <w:jc w:val="left"/>
            </w:pPr>
            <w:r>
              <w:t xml:space="preserve">2,400,000</w:t>
            </w:r>
          </w:p>
        </w:tc>
        <w:tc>
          <w:tcPr/>
          <w:p>
            <w:pPr>
              <w:pStyle w:val="Compact"/>
              <w:jc w:val="left"/>
            </w:pPr>
            <w:r>
              <w:t xml:space="preserve">4,800,000</w:t>
            </w:r>
          </w:p>
        </w:tc>
        <w:tc>
          <w:tcPr/>
          <w:p>
            <w:pPr>
              <w:pStyle w:val="Compact"/>
              <w:jc w:val="left"/>
            </w:pPr>
            <w:r>
              <w:t xml:space="preserve">35,200</w:t>
            </w:r>
          </w:p>
        </w:tc>
      </w:tr>
      <w:tr>
        <w:tc>
          <w:tcPr/>
          <w:p>
            <w:pPr>
              <w:pStyle w:val="Compact"/>
              <w:jc w:val="left"/>
            </w:pPr>
            <w:r>
              <w:t xml:space="preserve">04</w:t>
            </w:r>
          </w:p>
        </w:tc>
        <w:tc>
          <w:tcPr/>
          <w:p>
            <w:pPr>
              <w:pStyle w:val="Compact"/>
              <w:jc w:val="left"/>
            </w:pPr>
            <w:r>
              <w:t xml:space="preserve">Network Infrastructure (Cisco Catalyst 9300 Switches x4, Palo Alto Firewall PA-3260)</w:t>
            </w:r>
          </w:p>
        </w:tc>
        <w:tc>
          <w:tcPr/>
          <w:p>
            <w:pPr>
              <w:pStyle w:val="Compact"/>
              <w:jc w:val="left"/>
            </w:pPr>
            <w:r>
              <w:t xml:space="preserve">1 Lot</w:t>
            </w:r>
          </w:p>
        </w:tc>
        <w:tc>
          <w:tcPr/>
          <w:p>
            <w:pPr>
              <w:pStyle w:val="Compact"/>
              <w:jc w:val="left"/>
            </w:pPr>
            <w:r>
              <w:t xml:space="preserve">3,600,000</w:t>
            </w:r>
          </w:p>
        </w:tc>
        <w:tc>
          <w:tcPr/>
          <w:p>
            <w:pPr>
              <w:pStyle w:val="Compact"/>
              <w:jc w:val="left"/>
            </w:pPr>
            <w:r>
              <w:t xml:space="preserve">3,600,000</w:t>
            </w:r>
          </w:p>
        </w:tc>
        <w:tc>
          <w:tcPr/>
          <w:p>
            <w:pPr>
              <w:pStyle w:val="Compact"/>
              <w:jc w:val="left"/>
            </w:pPr>
            <w:r>
              <w:t xml:space="preserve">26,400</w:t>
            </w:r>
          </w:p>
        </w:tc>
      </w:tr>
      <w:tr>
        <w:tc>
          <w:tcPr/>
          <w:p>
            <w:pPr>
              <w:pStyle w:val="Compact"/>
              <w:jc w:val="left"/>
            </w:pPr>
            <w:r>
              <w:t xml:space="preserve">05</w:t>
            </w:r>
          </w:p>
        </w:tc>
        <w:tc>
          <w:tcPr/>
          <w:p>
            <w:pPr>
              <w:pStyle w:val="Compact"/>
              <w:jc w:val="left"/>
            </w:pPr>
            <w:r>
              <w:t xml:space="preserve">Software Licensing (VMware vSphere Enterprise Plus, Windows Server 2022 Datacenter, 5-year term)</w:t>
            </w:r>
          </w:p>
        </w:tc>
        <w:tc>
          <w:tcPr/>
          <w:p>
            <w:pPr>
              <w:pStyle w:val="Compact"/>
              <w:jc w:val="left"/>
            </w:pPr>
            <w:r>
              <w:t xml:space="preserve">1 Lot</w:t>
            </w:r>
          </w:p>
        </w:tc>
        <w:tc>
          <w:tcPr/>
          <w:p>
            <w:pPr>
              <w:pStyle w:val="Compact"/>
              <w:jc w:val="left"/>
            </w:pPr>
            <w:r>
              <w:t xml:space="preserve">2,100,000</w:t>
            </w:r>
          </w:p>
        </w:tc>
        <w:tc>
          <w:tcPr/>
          <w:p>
            <w:pPr>
              <w:pStyle w:val="Compact"/>
              <w:jc w:val="left"/>
            </w:pPr>
            <w:r>
              <w:t xml:space="preserve">2,100,000</w:t>
            </w:r>
          </w:p>
        </w:tc>
        <w:tc>
          <w:tcPr/>
          <w:p>
            <w:pPr>
              <w:pStyle w:val="Compact"/>
              <w:jc w:val="left"/>
            </w:pPr>
            <w:r>
              <w:t xml:space="preserve">15,400</w:t>
            </w:r>
          </w:p>
        </w:tc>
      </w:tr>
      <w:tr>
        <w:tc>
          <w:tcPr/>
          <w:p>
            <w:pPr>
              <w:pStyle w:val="Compact"/>
              <w:jc w:val="left"/>
            </w:pPr>
            <w:r>
              <w:t xml:space="preserve">06</w:t>
            </w:r>
          </w:p>
        </w:tc>
        <w:tc>
          <w:tcPr/>
          <w:p>
            <w:pPr>
              <w:pStyle w:val="Compact"/>
              <w:jc w:val="left"/>
            </w:pPr>
            <w:r>
              <w:t xml:space="preserve">Backup &amp; Disaster Recovery Solution (Veeam Backup &amp; Replication, 50TB storage array)</w:t>
            </w:r>
          </w:p>
        </w:tc>
        <w:tc>
          <w:tcPr/>
          <w:p>
            <w:pPr>
              <w:pStyle w:val="Compact"/>
              <w:jc w:val="left"/>
            </w:pPr>
            <w:r>
              <w:t xml:space="preserve">1</w:t>
            </w:r>
          </w:p>
        </w:tc>
        <w:tc>
          <w:tcPr/>
          <w:p>
            <w:pPr>
              <w:pStyle w:val="Compact"/>
              <w:jc w:val="left"/>
            </w:pPr>
            <w:r>
              <w:t xml:space="preserve">1,750,000</w:t>
            </w:r>
          </w:p>
        </w:tc>
        <w:tc>
          <w:tcPr/>
          <w:p>
            <w:pPr>
              <w:pStyle w:val="Compact"/>
              <w:jc w:val="left"/>
            </w:pPr>
            <w:r>
              <w:t xml:space="preserve">1,750,000</w:t>
            </w:r>
          </w:p>
        </w:tc>
        <w:tc>
          <w:tcPr/>
          <w:p>
            <w:pPr>
              <w:pStyle w:val="Compact"/>
              <w:jc w:val="left"/>
            </w:pPr>
            <w:r>
              <w:t xml:space="preserve">12,800</w:t>
            </w:r>
          </w:p>
        </w:tc>
      </w:tr>
      <w:tr>
        <w:tc>
          <w:tcPr/>
          <w:p>
            <w:pPr>
              <w:pStyle w:val="Compact"/>
              <w:jc w:val="left"/>
            </w:pPr>
            <w:r>
              <w:t xml:space="preserve">07</w:t>
            </w:r>
          </w:p>
        </w:tc>
        <w:tc>
          <w:tcPr/>
          <w:p>
            <w:pPr>
              <w:pStyle w:val="Compact"/>
              <w:jc w:val="left"/>
            </w:pPr>
            <w:r>
              <w:t xml:space="preserve">Monitoring &amp; Alerting Platform (Zabbix Enterprise, 12-month license + setup)</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3,300</w:t>
            </w:r>
          </w:p>
        </w:tc>
      </w:tr>
      <w:tr>
        <w:tc>
          <w:tcPr/>
          <w:p>
            <w:pPr>
              <w:pStyle w:val="Compact"/>
              <w:jc w:val="left"/>
            </w:pPr>
            <w:r>
              <w:t xml:space="preserve">08</w:t>
            </w:r>
          </w:p>
        </w:tc>
        <w:tc>
          <w:tcPr/>
          <w:p>
            <w:pPr>
              <w:pStyle w:val="Compact"/>
              <w:jc w:val="left"/>
            </w:pPr>
            <w:r>
              <w:t xml:space="preserve">On-site Training &amp; Knowledge Transfer (3 days, up to 10 participants, Algeria Algiers)</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c>
          <w:tcPr/>
          <w:p>
            <w:pPr>
              <w:pStyle w:val="Compact"/>
              <w:jc w:val="left"/>
            </w:pPr>
            <w:r>
              <w:t xml:space="preserve">3,960</w:t>
            </w:r>
          </w:p>
        </w:tc>
      </w:tr>
      <w:tr>
        <w:tc>
          <w:tcPr/>
          <w:p>
            <w:pPr>
              <w:pStyle w:val="Compact"/>
              <w:jc w:val="left"/>
            </w:pPr>
            <w:r>
              <w:t xml:space="preserve">09</w:t>
            </w:r>
          </w:p>
        </w:tc>
        <w:tc>
          <w:tcPr/>
          <w:p>
            <w:pPr>
              <w:pStyle w:val="Compact"/>
              <w:jc w:val="left"/>
            </w:pPr>
            <w:r>
              <w:t xml:space="preserve">Post-Deployment Support &amp; Warranty (12 months, quarterly on-site visits in Algeria Algiers)</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c>
          <w:tcPr/>
          <w:p>
            <w:pPr>
              <w:pStyle w:val="Compact"/>
              <w:jc w:val="left"/>
            </w:pPr>
            <w:r>
              <w:t xml:space="preserve">8,360</w:t>
            </w:r>
          </w:p>
        </w:tc>
      </w:tr>
      <w:tr>
        <w:tc>
          <w:tcPr/>
          <w:p>
            <w:pPr>
              <w:pStyle w:val="Compact"/>
              <w:jc w:val="left"/>
            </w:pPr>
            <w:r>
              <w:t xml:space="preserve">10</w:t>
            </w:r>
          </w:p>
        </w:tc>
        <w:tc>
          <w:tcPr/>
          <w:p>
            <w:pPr>
              <w:pStyle w:val="Compact"/>
              <w:jc w:val="left"/>
            </w:pPr>
            <w:r>
              <w:t xml:space="preserve">Project Documentation, As-Built Drawings &amp; Final Handover Report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1,830</w:t>
            </w:r>
          </w:p>
        </w:tc>
      </w:tr>
      <w:tr>
        <w:tc>
          <w:tcPr>
            <w:gridSpan w:val="4"/>
          </w:tcPr>
          <w:p>
            <w:pPr>
              <w:pStyle w:val="Compact"/>
              <w:jc w:val="left"/>
            </w:pPr>
            <w:r>
              <w:t xml:space="preserve">GRAND TOTAL (Inclusive of all applicable taxes — TVA 19% Algeria)</w:t>
            </w:r>
          </w:p>
        </w:tc>
        <w:tc>
          <w:tcPr/>
          <w:p>
            <w:pPr>
              <w:pStyle w:val="Compact"/>
              <w:jc w:val="left"/>
            </w:pPr>
            <w:r>
              <w:t xml:space="preserve">17,680,000</w:t>
            </w:r>
          </w:p>
        </w:tc>
        <w:tc>
          <w:tcPr/>
          <w:p>
            <w:pPr>
              <w:pStyle w:val="Compact"/>
              <w:jc w:val="left"/>
            </w:pPr>
            <w:r>
              <w:t xml:space="preserve">129,550</w:t>
            </w:r>
          </w:p>
        </w:tc>
      </w:tr>
    </w:tbl>
    <w:p>
      <w:pPr>
        <w:pStyle w:val="BodyText"/>
      </w:pPr>
      <w:r>
        <w:t xml:space="preserve">4. Payment Terms</w:t>
      </w:r>
    </w:p>
    <w:p>
      <w:pPr>
        <w:pStyle w:val="BodyText"/>
      </w:pPr>
      <w:r>
        <w:t xml:space="preserve">This</w:t>
      </w:r>
      <w:r>
        <w:t xml:space="preserve"> </w:t>
      </w:r>
      <w:r>
        <w:t xml:space="preserve">Quotation Estimate</w:t>
      </w:r>
      <w:r>
        <w:t xml:space="preserve"> </w:t>
      </w:r>
      <w:r>
        <w:t xml:space="preserve">is structured with the following payment milestones, all payable via bank transfer to the designated account of TechnoSys Algeria SARL in Algiers:</w:t>
      </w:r>
    </w:p>
    <w:p>
      <w:pPr>
        <w:numPr>
          <w:ilvl w:val="0"/>
          <w:numId w:val="1002"/>
        </w:numPr>
        <w:pStyle w:val="Compact"/>
      </w:pPr>
      <w:r>
        <w:rPr>
          <w:bCs/>
          <w:b/>
        </w:rPr>
        <w:t xml:space="preserve">30% Advance Payment</w:t>
      </w:r>
      <w:r>
        <w:t xml:space="preserve"> </w:t>
      </w:r>
      <w:r>
        <w:t xml:space="preserve">— Due upon signed acceptance of this Quotation Estimate and project kickoff (approximately DZD 5,304,000 / USD 38,865).</w:t>
      </w:r>
    </w:p>
    <w:p>
      <w:pPr>
        <w:numPr>
          <w:ilvl w:val="0"/>
          <w:numId w:val="1002"/>
        </w:numPr>
        <w:pStyle w:val="Compact"/>
      </w:pPr>
      <w:r>
        <w:rPr>
          <w:bCs/>
          <w:b/>
        </w:rPr>
        <w:t xml:space="preserve">40% Progress Payment</w:t>
      </w:r>
      <w:r>
        <w:t xml:space="preserve"> </w:t>
      </w:r>
      <w:r>
        <w:t xml:space="preserve">— Due upon completion of hardware installation and initial system configuration in Algeria Algiers (approximately DZD 7,072,000 / USD 51,820).</w:t>
      </w:r>
    </w:p>
    <w:p>
      <w:pPr>
        <w:numPr>
          <w:ilvl w:val="0"/>
          <w:numId w:val="1002"/>
        </w:numPr>
        <w:pStyle w:val="Compact"/>
      </w:pPr>
      <w:r>
        <w:rPr>
          <w:bCs/>
          <w:b/>
        </w:rPr>
        <w:t xml:space="preserve">20% Completion Payment</w:t>
      </w:r>
      <w:r>
        <w:t xml:space="preserve"> </w:t>
      </w:r>
      <w:r>
        <w:t xml:space="preserve">— Due upon successful system handover, final testing, and delivery of all documentation (approximately DZD 3,536,000 / USD 25,910).</w:t>
      </w:r>
    </w:p>
    <w:p>
      <w:pPr>
        <w:numPr>
          <w:ilvl w:val="0"/>
          <w:numId w:val="1002"/>
        </w:numPr>
        <w:pStyle w:val="Compact"/>
      </w:pPr>
      <w:r>
        <w:rPr>
          <w:bCs/>
          <w:b/>
        </w:rPr>
        <w:t xml:space="preserve">10% Retention</w:t>
      </w:r>
      <w:r>
        <w:t xml:space="preserve"> </w:t>
      </w:r>
      <w:r>
        <w:t xml:space="preserve">— Due at the end of the 12-month warranty and support period (approximately DZD 1,768,000 / USD 12,955).</w:t>
      </w:r>
    </w:p>
    <w:p>
      <w:pPr>
        <w:pStyle w:val="FirstParagraph"/>
      </w:pPr>
      <w:r>
        <w:t xml:space="preserve">5. Terms and Conditions</w:t>
      </w:r>
    </w:p>
    <w:bookmarkStart w:id="21" w:name="Xf48c250d2e314979bf6e29b296defbec847a225"/>
    <w:p>
      <w:pPr>
        <w:pStyle w:val="Heading3"/>
      </w:pPr>
      <w:r>
        <w:t xml:space="preserve">Important Conditions Governing This Quotation Estimate</w:t>
      </w:r>
    </w:p>
    <w:p>
      <w:pPr>
        <w:numPr>
          <w:ilvl w:val="0"/>
          <w:numId w:val="1003"/>
        </w:numPr>
        <w:pStyle w:val="Compact"/>
      </w:pPr>
      <w:r>
        <w:t xml:space="preserve">This Quotation Estimate is valid for a period of 30 calendar days from the date of issue. Beyond this period, pricing may be subject to revision due to currency fluctuation (DZD/USD) or changes in hardware availability in the Algeria Algiers market.</w:t>
      </w:r>
    </w:p>
    <w:p>
      <w:pPr>
        <w:numPr>
          <w:ilvl w:val="0"/>
          <w:numId w:val="1003"/>
        </w:numPr>
        <w:pStyle w:val="Compact"/>
      </w:pPr>
      <w:r>
        <w:t xml:space="preserve">All prices are inclusive of 19% Algerian Value Added Tax (TVA) as mandated by the Algerian tax code. Any additional customs duties or import taxes on hardware shipped to Algeria Algiers shall be the responsibility of the client unless otherwise agreed in writing.</w:t>
      </w:r>
    </w:p>
    <w:p>
      <w:pPr>
        <w:numPr>
          <w:ilvl w:val="0"/>
          <w:numId w:val="1003"/>
        </w:numPr>
        <w:pStyle w:val="Compact"/>
      </w:pPr>
      <w:r>
        <w:t xml:space="preserve">The Systems Engineer personnel assigned to this project are subject to availability. In the event of a critical resource conflict, TechnoSys Algeria SARL will notify the client no fewer than 10 business days in advance and propose an equivalent or superior replacement.</w:t>
      </w:r>
    </w:p>
    <w:p>
      <w:pPr>
        <w:numPr>
          <w:ilvl w:val="0"/>
          <w:numId w:val="1003"/>
        </w:numPr>
        <w:pStyle w:val="Compact"/>
      </w:pPr>
      <w:r>
        <w:t xml:space="preserve">On-site work in Algeria Algiers will be conducted during standard business hours (08:00 – 17:00, Sunday to Thursday) unless emergency after-hours support is explicitly requested and approved at a 1.5x rate multiplier.</w:t>
      </w:r>
    </w:p>
    <w:p>
      <w:pPr>
        <w:numPr>
          <w:ilvl w:val="0"/>
          <w:numId w:val="1003"/>
        </w:numPr>
        <w:pStyle w:val="Compact"/>
      </w:pPr>
      <w:r>
        <w:t xml:space="preserve">This Quotation Estimate does not constitute a binding contract until both parties have executed a formal Service Agreement referencing this document by number (QE-ALG-2025-0047).</w:t>
      </w:r>
    </w:p>
    <w:p>
      <w:pPr>
        <w:numPr>
          <w:ilvl w:val="0"/>
          <w:numId w:val="1003"/>
        </w:numPr>
        <w:pStyle w:val="Compact"/>
      </w:pPr>
      <w:r>
        <w:t xml:space="preserve">Intellectual property, system documentation, and configuration deliverables produced under this engagement shall become the property of the client upon full payment.</w:t>
      </w:r>
    </w:p>
    <w:p>
      <w:pPr>
        <w:numPr>
          <w:ilvl w:val="0"/>
          <w:numId w:val="1003"/>
        </w:numPr>
        <w:pStyle w:val="Compact"/>
      </w:pPr>
      <w:r>
        <w:t xml:space="preserve">Force majeure events, including but not limited to natural disasters, government-mandated shutdowns, or telecommunications outages affecting the Algeria Algiers region, shall suspend project timelines without penalty to either party.</w:t>
      </w:r>
    </w:p>
    <w:p>
      <w:pPr>
        <w:numPr>
          <w:ilvl w:val="0"/>
          <w:numId w:val="1003"/>
        </w:numPr>
        <w:pStyle w:val="Compact"/>
      </w:pPr>
      <w:r>
        <w:t xml:space="preserve">Disputes arising from this Quotation Estimate or the subsequent Service Agreement shall be resolved through amicable negotiation, failing which they shall be submitted to the competent commercial courts of Algiers, Algeria.</w:t>
      </w:r>
    </w:p>
    <w:bookmarkEnd w:id="21"/>
    <w:p>
      <w:pPr>
        <w:pStyle w:val="FirstParagraph"/>
      </w:pPr>
      <w:r>
        <w:t xml:space="preserve">6. 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Systems Engineer</w:t>
      </w:r>
      <w:r>
        <w:t xml:space="preserve"> </w:t>
      </w:r>
      <w:r>
        <w:t xml:space="preserve">services in</w:t>
      </w:r>
      <w:r>
        <w:t xml:space="preserve"> </w:t>
      </w:r>
      <w:r>
        <w:t xml:space="preserve">Algeria Algiers</w:t>
      </w:r>
      <w:r>
        <w:t xml:space="preserve"> </w:t>
      </w:r>
      <w:r>
        <w:t xml:space="preserve">and agrees to the terms, conditions, and pricing outlined herein. This signature authorizes TechnoSys Algeria SARL to proceed with resource allocation and procurement upon receipt of the advance payment.</w:t>
      </w:r>
    </w:p>
    <w:p>
      <w:pPr>
        <w:pStyle w:val="BodyText"/>
      </w:pPr>
      <w:r>
        <w:rPr>
          <w:bCs/>
          <w:b/>
        </w:rPr>
        <w:t xml:space="preserve">For TechnoSys Algeria SARL</w:t>
      </w:r>
    </w:p>
    <w:p>
      <w:pPr>
        <w:pStyle w:val="BodyText"/>
      </w:pPr>
      <w:r>
        <w:t xml:space="preserve">Name: Karim Benali</w:t>
      </w:r>
      <w:r>
        <w:br/>
      </w:r>
      <w:r>
        <w:t xml:space="preserve">Title: Director of Engineering</w:t>
      </w:r>
      <w:r>
        <w:br/>
      </w:r>
      <w:r>
        <w:t xml:space="preserve">Date: 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TechnoSys Algeria SARL — RC: 16/00-1234567B25 — NIF: 002516123456789 — NIS: 002516123456789</w:t>
      </w:r>
    </w:p>
    <w:p>
      <w:pPr>
        <w:pStyle w:val="BodyText"/>
      </w:pPr>
      <w:r>
        <w:t xml:space="preserve">12, Rue Didouche Mourad, Hydra, 16000 Algiers, Algeria — Tel: +213 (0) 23 45 67 89 — Email: projects@technosys-dz.com</w:t>
      </w:r>
    </w:p>
    <w:p>
      <w:pPr>
        <w:pStyle w:val="BodyText"/>
      </w:pPr>
      <w:r>
        <w:t xml:space="preserve">This Quotation Estimate document is generated electronically and is valid without a physical stamp. Document Ref: QE-ALG-2025-0047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Algeria Algiers</dc:title>
  <dc:creator/>
  <dc:language>en</dc:language>
  <cp:keywords/>
  <dcterms:created xsi:type="dcterms:W3CDTF">2026-10-10T04:28:23Z</dcterms:created>
  <dcterms:modified xsi:type="dcterms:W3CDTF">2026-10-10T04:28:23Z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