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Prepared for Clients in Australia Sydney</w:t>
      </w:r>
    </w:p>
    <w:bookmarkEnd w:id="20"/>
    <w:p>
      <w:pPr>
        <w:pStyle w:val="BodyText"/>
      </w:pPr>
      <w:r>
        <w:rPr>
          <w:bCs/>
          <w:b/>
        </w:rPr>
        <w:t xml:space="preserve">Quotation No.:</w:t>
      </w:r>
      <w:r>
        <w:t xml:space="preserve"> </w:t>
      </w:r>
      <w:r>
        <w:t xml:space="preserve">QTE-SYD-2025-0472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Apex Infrastructure Solutions Pty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Apex Infrastructure Solutions Pty Ltd, a registered technology consultancy operating from Australia Sydney, to provide a comprehensive and transparent pricing framework for the engagement of a qualified</w:t>
      </w:r>
      <w:r>
        <w:t xml:space="preserve"> </w:t>
      </w:r>
      <w:r>
        <w:t xml:space="preserve">Systems Engineer</w:t>
      </w:r>
      <w:r>
        <w:t xml:space="preserve">. The purpose of this document is to outline the scope of work, deliverables, associated costs, and commercial terms governing the provision of Systems Engineer services to the client organisation. All pricing contained within this Quotation Estimate reflects current market rates applicable to the Australia Sydney metropolitan region as of the date of issue.</w:t>
      </w:r>
    </w:p>
    <w:p>
      <w:pPr>
        <w:pStyle w:val="BodyText"/>
      </w:pPr>
      <w:r>
        <w:t xml:space="preserve">The Systems Engineer role described herein encompasses the design, implementation, monitoring, and maintenance of enterprise-grade IT infrastructure, including server environments, network architectures, virtualisation platforms, cloud integrations, and security frameworks. This Quotation Estimate is tailored specifically for organisations operating within Australia Sydney that require dedicated or contract-based Systems Engineer expertise to support their operational technology stack.</w:t>
      </w:r>
    </w:p>
    <w:bookmarkEnd w:id="21"/>
    <w:bookmarkStart w:id="22" w:name="X09324f8132ad998e68702bab1861d90e0f3de50"/>
    <w:p>
      <w:pPr>
        <w:pStyle w:val="Heading2"/>
      </w:pPr>
      <w:r>
        <w:t xml:space="preserve">2. Scope of Services – Systems Engineer Engagement</w:t>
      </w:r>
    </w:p>
    <w:p>
      <w:pPr>
        <w:pStyle w:val="FirstParagraph"/>
      </w:pPr>
      <w:r>
        <w:t xml:space="preserve">The following scope defines the responsibilities and deliverables associated with the Systems Engineer position as outlined in this Quotation Estimate:</w:t>
      </w:r>
    </w:p>
    <w:p>
      <w:pPr>
        <w:numPr>
          <w:ilvl w:val="0"/>
          <w:numId w:val="1001"/>
        </w:numPr>
        <w:pStyle w:val="Compact"/>
      </w:pPr>
      <w:r>
        <w:rPr>
          <w:bCs/>
          <w:b/>
        </w:rPr>
        <w:t xml:space="preserve">Infrastructure Design &amp; Architecture:</w:t>
      </w:r>
      <w:r>
        <w:t xml:space="preserve"> </w:t>
      </w:r>
      <w:r>
        <w:t xml:space="preserve">The Systems Engineer will conduct a full assessment of the existing IT environment in Australia Sydney and produce detailed architecture diagrams, capacity planning documents, and scalability roadmaps aligned with the client's five-year strategic objectives.</w:t>
      </w:r>
    </w:p>
    <w:p>
      <w:pPr>
        <w:numPr>
          <w:ilvl w:val="0"/>
          <w:numId w:val="1001"/>
        </w:numPr>
        <w:pStyle w:val="Compact"/>
      </w:pPr>
      <w:r>
        <w:rPr>
          <w:bCs/>
          <w:b/>
        </w:rPr>
        <w:t xml:space="preserve">Server &amp; Virtualisation Management:</w:t>
      </w:r>
      <w:r>
        <w:t xml:space="preserve"> </w:t>
      </w:r>
      <w:r>
        <w:t xml:space="preserve">Ongoing administration of physical and virtual server environments, including VMware vSphere, Microsoft Hyper-V, and AWS EC2 instances, ensuring 99.9% uptime availability across all production systems.</w:t>
      </w:r>
    </w:p>
    <w:p>
      <w:pPr>
        <w:numPr>
          <w:ilvl w:val="0"/>
          <w:numId w:val="1001"/>
        </w:numPr>
        <w:pStyle w:val="Compact"/>
      </w:pPr>
      <w:r>
        <w:rPr>
          <w:bCs/>
          <w:b/>
        </w:rPr>
        <w:t xml:space="preserve">Network Configuration &amp; Security:</w:t>
      </w:r>
      <w:r>
        <w:t xml:space="preserve"> </w:t>
      </w:r>
      <w:r>
        <w:t xml:space="preserve">Implementation and management of firewalls, load balancers, DNS services, and intrusion detection systems. The Systems Engineer will ensure compliance with Australian Privacy Act 1988 and relevant Australian Cyber Security Centre (ACSC) guidelines.</w:t>
      </w:r>
    </w:p>
    <w:p>
      <w:pPr>
        <w:numPr>
          <w:ilvl w:val="0"/>
          <w:numId w:val="1001"/>
        </w:numPr>
        <w:pStyle w:val="Compact"/>
      </w:pPr>
      <w:r>
        <w:rPr>
          <w:bCs/>
          <w:b/>
        </w:rPr>
        <w:t xml:space="preserve">Cloud Migration &amp; Hybrid Integration:</w:t>
      </w:r>
      <w:r>
        <w:t xml:space="preserve"> </w:t>
      </w:r>
      <w:r>
        <w:t xml:space="preserve">Planning and execution of migration strategies from on-premises data centres to hybrid cloud environments, leveraging AWS Sydney Region (ap-southeast-2) for data residency compliance.</w:t>
      </w:r>
    </w:p>
    <w:p>
      <w:pPr>
        <w:numPr>
          <w:ilvl w:val="0"/>
          <w:numId w:val="1001"/>
        </w:numPr>
        <w:pStyle w:val="Compact"/>
      </w:pPr>
      <w:r>
        <w:rPr>
          <w:bCs/>
          <w:b/>
        </w:rPr>
        <w:t xml:space="preserve">Disaster Recovery &amp; Business Continuity:</w:t>
      </w:r>
      <w:r>
        <w:t xml:space="preserve"> </w:t>
      </w:r>
      <w:r>
        <w:t xml:space="preserve">Development and testing of disaster recovery plans, automated backup schedules, and failover procedures to protect critical business operations in Australia Sydney.</w:t>
      </w:r>
    </w:p>
    <w:p>
      <w:pPr>
        <w:numPr>
          <w:ilvl w:val="0"/>
          <w:numId w:val="1001"/>
        </w:numPr>
        <w:pStyle w:val="Compact"/>
      </w:pPr>
      <w:r>
        <w:rPr>
          <w:bCs/>
          <w:b/>
        </w:rPr>
        <w:t xml:space="preserve">Performance Monitoring &amp; Reporting:</w:t>
      </w:r>
      <w:r>
        <w:t xml:space="preserve"> </w:t>
      </w:r>
      <w:r>
        <w:t xml:space="preserve">Deployment of monitoring tools (e.g., Datadog, Nagios, PRTG) and provision of monthly performance reports to the client's IT leadership team.</w:t>
      </w:r>
    </w:p>
    <w:p>
      <w:pPr>
        <w:numPr>
          <w:ilvl w:val="0"/>
          <w:numId w:val="1001"/>
        </w:numPr>
        <w:pStyle w:val="Compact"/>
      </w:pPr>
      <w:r>
        <w:rPr>
          <w:bCs/>
          <w:b/>
        </w:rPr>
        <w:t xml:space="preserve">Vendor &amp; Stakeholder Coordination:</w:t>
      </w:r>
      <w:r>
        <w:t xml:space="preserve"> </w:t>
      </w:r>
      <w:r>
        <w:t xml:space="preserve">Liaison with third-party service providers, hardware vendors, and internal stakeholders to ensure seamless project delivery and issue resolution.</w:t>
      </w:r>
    </w:p>
    <w:bookmarkEnd w:id="22"/>
    <w:bookmarkStart w:id="23" w:name="pricing-breakdown-quotation-estimate"/>
    <w:p>
      <w:pPr>
        <w:pStyle w:val="Heading2"/>
      </w:pPr>
      <w:r>
        <w:t xml:space="preserve">3. Pricing Breakdown – Quotation Estimate</w:t>
      </w:r>
    </w:p>
    <w:p>
      <w:pPr>
        <w:pStyle w:val="FirstParagraph"/>
      </w:pPr>
      <w:r>
        <w:t xml:space="preserve">The following table presents the itemised costs forming this Quotation Estimate for the Systems Engineer engagement in Australia Sydney: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Systems Engineer – Senior (40 hrs/week)</w:t>
            </w:r>
          </w:p>
        </w:tc>
        <w:tc>
          <w:tcPr/>
          <w:p>
            <w:pPr>
              <w:pStyle w:val="Compact"/>
              <w:jc w:val="left"/>
            </w:pPr>
            <w:r>
              <w:t xml:space="preserve">12 months</w:t>
            </w:r>
          </w:p>
        </w:tc>
        <w:tc>
          <w:tcPr/>
          <w:p>
            <w:pPr>
              <w:pStyle w:val="Compact"/>
              <w:jc w:val="left"/>
            </w:pPr>
            <w:r>
              <w:t xml:space="preserve">$115,000/yr</w:t>
            </w:r>
          </w:p>
        </w:tc>
        <w:tc>
          <w:tcPr/>
          <w:p>
            <w:pPr>
              <w:pStyle w:val="Compact"/>
              <w:jc w:val="left"/>
            </w:pPr>
            <w:r>
              <w:t xml:space="preserve">$115,000.00</w:t>
            </w:r>
          </w:p>
        </w:tc>
      </w:tr>
      <w:tr>
        <w:tc>
          <w:tcPr/>
          <w:p>
            <w:pPr>
              <w:pStyle w:val="Compact"/>
              <w:jc w:val="left"/>
            </w:pPr>
            <w:r>
              <w:t xml:space="preserve">2</w:t>
            </w:r>
          </w:p>
        </w:tc>
        <w:tc>
          <w:tcPr/>
          <w:p>
            <w:pPr>
              <w:pStyle w:val="Compact"/>
              <w:jc w:val="left"/>
            </w:pPr>
            <w:r>
              <w:t xml:space="preserve">Systems Engineer – Mid-Level (20 hrs/week)</w:t>
            </w:r>
          </w:p>
        </w:tc>
        <w:tc>
          <w:tcPr/>
          <w:p>
            <w:pPr>
              <w:pStyle w:val="Compact"/>
              <w:jc w:val="left"/>
            </w:pPr>
            <w:r>
              <w:t xml:space="preserve">12 months</w:t>
            </w:r>
          </w:p>
        </w:tc>
        <w:tc>
          <w:tcPr/>
          <w:p>
            <w:pPr>
              <w:pStyle w:val="Compact"/>
              <w:jc w:val="left"/>
            </w:pPr>
            <w:r>
              <w:t xml:space="preserve">$82,000/yr</w:t>
            </w:r>
          </w:p>
        </w:tc>
        <w:tc>
          <w:tcPr/>
          <w:p>
            <w:pPr>
              <w:pStyle w:val="Compact"/>
              <w:jc w:val="left"/>
            </w:pPr>
            <w:r>
              <w:t xml:space="preserve">$82,000.00</w:t>
            </w:r>
          </w:p>
        </w:tc>
      </w:tr>
      <w:tr>
        <w:tc>
          <w:tcPr/>
          <w:p>
            <w:pPr>
              <w:pStyle w:val="Compact"/>
              <w:jc w:val="left"/>
            </w:pPr>
            <w:r>
              <w:t xml:space="preserve">3</w:t>
            </w:r>
          </w:p>
        </w:tc>
        <w:tc>
          <w:tcPr/>
          <w:p>
            <w:pPr>
              <w:pStyle w:val="Compact"/>
              <w:jc w:val="left"/>
            </w:pPr>
            <w:r>
              <w:t xml:space="preserve">Infrastructure Assessment &amp; Architecture Design</w:t>
            </w:r>
          </w:p>
        </w:tc>
        <w:tc>
          <w:tcPr/>
          <w:p>
            <w:pPr>
              <w:pStyle w:val="Compact"/>
              <w:jc w:val="left"/>
            </w:pPr>
            <w:r>
              <w:t xml:space="preserve">One-off (4 weeks)</w:t>
            </w:r>
          </w:p>
        </w:tc>
        <w:tc>
          <w:tcPr/>
          <w:p>
            <w:pPr>
              <w:pStyle w:val="Compact"/>
              <w:jc w:val="left"/>
            </w:pPr>
            <w:r>
              <w:t xml:space="preserve">Fixed fee</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Cloud Migration Planning &amp; Execution (AWS Sydney Region)</w:t>
            </w:r>
          </w:p>
        </w:tc>
        <w:tc>
          <w:tcPr/>
          <w:p>
            <w:pPr>
              <w:pStyle w:val="Compact"/>
              <w:jc w:val="left"/>
            </w:pPr>
            <w:r>
              <w:t xml:space="preserve">One-off (8 weeks)</w:t>
            </w:r>
          </w:p>
        </w:tc>
        <w:tc>
          <w:tcPr/>
          <w:p>
            <w:pPr>
              <w:pStyle w:val="Compact"/>
              <w:jc w:val="left"/>
            </w:pPr>
            <w:r>
              <w:t xml:space="preserve">Fixed fee</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Disaster Recovery Plan Development &amp; Testing</w:t>
            </w:r>
          </w:p>
        </w:tc>
        <w:tc>
          <w:tcPr/>
          <w:p>
            <w:pPr>
              <w:pStyle w:val="Compact"/>
              <w:jc w:val="left"/>
            </w:pPr>
            <w:r>
              <w:t xml:space="preserve">One-off (3 weeks)</w:t>
            </w:r>
          </w:p>
        </w:tc>
        <w:tc>
          <w:tcPr/>
          <w:p>
            <w:pPr>
              <w:pStyle w:val="Compact"/>
              <w:jc w:val="left"/>
            </w:pPr>
            <w:r>
              <w:t xml:space="preserve">Fixed fee</w:t>
            </w:r>
          </w:p>
        </w:tc>
        <w:tc>
          <w:tcPr/>
          <w:p>
            <w:pPr>
              <w:pStyle w:val="Compact"/>
              <w:jc w:val="left"/>
            </w:pPr>
            <w:r>
              <w:t xml:space="preserve">$12,750.00</w:t>
            </w:r>
          </w:p>
        </w:tc>
      </w:tr>
      <w:tr>
        <w:tc>
          <w:tcPr/>
          <w:p>
            <w:pPr>
              <w:pStyle w:val="Compact"/>
              <w:jc w:val="left"/>
            </w:pPr>
            <w:r>
              <w:t xml:space="preserve">6</w:t>
            </w:r>
          </w:p>
        </w:tc>
        <w:tc>
          <w:tcPr/>
          <w:p>
            <w:pPr>
              <w:pStyle w:val="Compact"/>
              <w:jc w:val="left"/>
            </w:pPr>
            <w:r>
              <w:t xml:space="preserve">Monitoring Tool Deployment &amp; Configuration</w:t>
            </w:r>
          </w:p>
        </w:tc>
        <w:tc>
          <w:tcPr/>
          <w:p>
            <w:pPr>
              <w:pStyle w:val="Compact"/>
              <w:jc w:val="left"/>
            </w:pPr>
            <w:r>
              <w:t xml:space="preserve">One-off (2 weeks)</w:t>
            </w:r>
          </w:p>
        </w:tc>
        <w:tc>
          <w:tcPr/>
          <w:p>
            <w:pPr>
              <w:pStyle w:val="Compact"/>
              <w:jc w:val="left"/>
            </w:pPr>
            <w:r>
              <w:t xml:space="preserve">Fixed fee</w:t>
            </w:r>
          </w:p>
        </w:tc>
        <w:tc>
          <w:tcPr/>
          <w:p>
            <w:pPr>
              <w:pStyle w:val="Compact"/>
              <w:jc w:val="left"/>
            </w:pPr>
            <w:r>
              <w:t xml:space="preserve">$8,200.00</w:t>
            </w:r>
          </w:p>
        </w:tc>
      </w:tr>
      <w:tr>
        <w:tc>
          <w:tcPr/>
          <w:p>
            <w:pPr>
              <w:pStyle w:val="Compact"/>
              <w:jc w:val="left"/>
            </w:pPr>
            <w:r>
              <w:t xml:space="preserve">7</w:t>
            </w:r>
          </w:p>
        </w:tc>
        <w:tc>
          <w:tcPr/>
          <w:p>
            <w:pPr>
              <w:pStyle w:val="Compact"/>
              <w:jc w:val="left"/>
            </w:pPr>
            <w:r>
              <w:t xml:space="preserve">Monthly Performance Reporting &amp; Review Meetings</w:t>
            </w:r>
          </w:p>
        </w:tc>
        <w:tc>
          <w:tcPr/>
          <w:p>
            <w:pPr>
              <w:pStyle w:val="Compact"/>
              <w:jc w:val="left"/>
            </w:pPr>
            <w:r>
              <w:t xml:space="preserve">12 months</w:t>
            </w:r>
          </w:p>
        </w:tc>
        <w:tc>
          <w:tcPr/>
          <w:p>
            <w:pPr>
              <w:pStyle w:val="Compact"/>
              <w:jc w:val="left"/>
            </w:pPr>
            <w:r>
              <w:t xml:space="preserve">$1,200/mo</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Emergency After-Hours Support (up to 40 hrs/yr)</w:t>
            </w:r>
          </w:p>
        </w:tc>
        <w:tc>
          <w:tcPr/>
          <w:p>
            <w:pPr>
              <w:pStyle w:val="Compact"/>
              <w:jc w:val="left"/>
            </w:pPr>
            <w:r>
              <w:t xml:space="preserve">12 months</w:t>
            </w:r>
          </w:p>
        </w:tc>
        <w:tc>
          <w:tcPr/>
          <w:p>
            <w:pPr>
              <w:pStyle w:val="Compact"/>
              <w:jc w:val="left"/>
            </w:pPr>
            <w:r>
              <w:t xml:space="preserve">$185/hr</w:t>
            </w:r>
          </w:p>
        </w:tc>
        <w:tc>
          <w:tcPr/>
          <w:p>
            <w:pPr>
              <w:pStyle w:val="Compact"/>
              <w:jc w:val="left"/>
            </w:pPr>
            <w:r>
              <w:t xml:space="preserve">$7,400.00</w:t>
            </w:r>
          </w:p>
        </w:tc>
      </w:tr>
      <w:tr>
        <w:tc>
          <w:tcPr>
            <w:gridSpan w:val="4"/>
          </w:tcPr>
          <w:p>
            <w:pPr>
              <w:pStyle w:val="Compact"/>
              <w:jc w:val="left"/>
            </w:pPr>
            <w:r>
              <w:t xml:space="preserve">Subtotal (excl. GST)</w:t>
            </w:r>
          </w:p>
        </w:tc>
        <w:tc>
          <w:tcPr/>
          <w:p>
            <w:pPr>
              <w:pStyle w:val="Compact"/>
              <w:jc w:val="left"/>
            </w:pPr>
            <w:r>
              <w:t xml:space="preserve">$290,250.00</w:t>
            </w:r>
          </w:p>
        </w:tc>
      </w:tr>
      <w:tr>
        <w:tc>
          <w:tcPr>
            <w:gridSpan w:val="4"/>
          </w:tcPr>
          <w:p>
            <w:pPr>
              <w:pStyle w:val="Compact"/>
              <w:jc w:val="left"/>
            </w:pPr>
            <w:r>
              <w:t xml:space="preserve">GST (10%)</w:t>
            </w:r>
          </w:p>
        </w:tc>
        <w:tc>
          <w:tcPr/>
          <w:p>
            <w:pPr>
              <w:pStyle w:val="Compact"/>
              <w:jc w:val="left"/>
            </w:pPr>
            <w:r>
              <w:t xml:space="preserve">$29,025.00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$319,275.00</w:t>
            </w:r>
          </w:p>
        </w:tc>
      </w:tr>
    </w:tbl>
    <w:bookmarkEnd w:id="23"/>
    <w:bookmarkStart w:id="24" w:name="assumptions-and-exclusions"/>
    <w:p>
      <w:pPr>
        <w:pStyle w:val="Heading2"/>
      </w:pPr>
      <w:r>
        <w:t xml:space="preserve">4. Assumptions and Exclusions</w:t>
      </w:r>
    </w:p>
    <w:p>
      <w:pPr>
        <w:pStyle w:val="FirstParagraph"/>
      </w:pPr>
      <w:r>
        <w:t xml:space="preserve">This Quotation Estimate is based on the following assumptions: the client will provide secure access to all relevant systems, data centres, and cloud accounts; the engagement will be based in Australia Sydney with a maximum of two days per week at the client's premises; and all hardware procurement costs are excluded from this estimate. Any scope changes exceeding 15% of the original project value will require a revised Quotation Estimate issued by Apex Infrastructure Solutions Pty Ltd.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Upon expiry, a revised Quotation Estimate may be required to reflect any changes in market rates or resource availability in Australia Sydney.</w:t>
      </w:r>
    </w:p>
    <w:p>
      <w:pPr>
        <w:numPr>
          <w:ilvl w:val="0"/>
          <w:numId w:val="1002"/>
        </w:numPr>
        <w:pStyle w:val="Compact"/>
      </w:pPr>
      <w:r>
        <w:t xml:space="preserve">Payment terms: 30% deposit upon acceptance of this Quotation Estimate, 40% upon completion of the mid-project milestone, and 30% upon final delivery and sign-off. All payments are due within fourteen (14) days of invoice date.</w:t>
      </w:r>
    </w:p>
    <w:p>
      <w:pPr>
        <w:numPr>
          <w:ilvl w:val="0"/>
          <w:numId w:val="1002"/>
        </w:numPr>
        <w:pStyle w:val="Compact"/>
      </w:pPr>
      <w:r>
        <w:t xml:space="preserve">The Systems Engineer engaged under this Quotation Estimate will be bound by a Non-Disclosure Agreement (NDA) and will comply with all Australian workplace health and safety regulations applicable to the client's premises in Australia Sydney.</w:t>
      </w:r>
    </w:p>
    <w:p>
      <w:pPr>
        <w:numPr>
          <w:ilvl w:val="0"/>
          <w:numId w:val="1002"/>
        </w:numPr>
        <w:pStyle w:val="Compact"/>
      </w:pPr>
      <w:r>
        <w:t xml:space="preserve">Intellectual property produced specifically for the client during the engagement period shall vest in the client upon full payment. Pre-existing tools, methodologies, and frameworks remain the property of Apex Infrastructure Solutions Pty Ltd.</w:t>
      </w:r>
    </w:p>
    <w:p>
      <w:pPr>
        <w:numPr>
          <w:ilvl w:val="0"/>
          <w:numId w:val="1002"/>
        </w:numPr>
        <w:pStyle w:val="Compact"/>
      </w:pPr>
      <w:r>
        <w:t xml:space="preserve">Either party may terminate this engagement with thirty (30) days written notice. In the event of early termination, the client shall be liable for all work completed up to the termination date as detailed in this Quotation Estimate.</w:t>
      </w:r>
    </w:p>
    <w:p>
      <w:pPr>
        <w:numPr>
          <w:ilvl w:val="0"/>
          <w:numId w:val="1002"/>
        </w:numPr>
        <w:pStyle w:val="Compact"/>
      </w:pPr>
      <w:r>
        <w:t xml:space="preserve">All services will be delivered in accordance with Australian Standards AS/NZS 27001 (Information Security Management) and relevant Australian Information Security Manual (AISIM) guidelines.</w:t>
      </w:r>
    </w:p>
    <w:p>
      <w:pPr>
        <w:numPr>
          <w:ilvl w:val="0"/>
          <w:numId w:val="1002"/>
        </w:numPr>
        <w:pStyle w:val="Compact"/>
      </w:pPr>
      <w:r>
        <w:t xml:space="preserve">This Quotation Estimate is governed by the laws of the State of New South Wales, Australia. Any disputes shall be resolved through the courts of Australia Sydney.</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 Quotation Estimate for the Systems Engineer services to be delivered in Australia Sydney. This signature constitutes a binding agreement between the parties.</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Apex Infrastructure Solutions Pty Ltd:</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Apex Infrastructure Solutions Pty Ltd | ABN 12 345 678 901 | Level 12, 200 George Street, Sydney NSW 2000, Australia</w:t>
      </w:r>
    </w:p>
    <w:p>
      <w:pPr>
        <w:pStyle w:val="BodyText"/>
      </w:pPr>
      <w:r>
        <w:t xml:space="preserve">Phone: +61 2 9000 0000 | Email: quotations@apexinfra.com.au</w:t>
      </w:r>
    </w:p>
    <w:p>
      <w:pPr>
        <w:pStyle w:val="BodyText"/>
      </w:pPr>
      <w:r>
        <w:t xml:space="preserve">This Quotation Estimate document is confidential and intended solely for the named recipient. Unauthorised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Australia Sydney</dc:title>
  <dc:creator/>
  <dc:language>en</dc:language>
  <cp:keywords/>
  <dcterms:created xsi:type="dcterms:W3CDTF">2026-10-10T02:09:25Z</dcterms:created>
  <dcterms:modified xsi:type="dcterms:W3CDTF">2026-10-10T02:09:25Z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