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Systems Engineer Services — China Guangzhou</w:t>
      </w:r>
    </w:p>
    <w:p>
      <w:pPr>
        <w:pStyle w:val="BodyText"/>
      </w:pPr>
      <w:r>
        <w:t xml:space="preserve">Ref: QE-SYS-GZ-2025-0047 | Valid Until: 30 June 2025</w:t>
      </w:r>
    </w:p>
    <w:bookmarkEnd w:id="20"/>
    <w:p>
      <w:pPr>
        <w:pStyle w:val="BodyText"/>
      </w:pPr>
      <w:r>
        <w:rPr>
          <w:bCs/>
          <w:b/>
        </w:rPr>
        <w:t xml:space="preserve">Prepared By:</w:t>
      </w:r>
      <w:r>
        <w:br/>
      </w:r>
      <w:r>
        <w:t xml:space="preserve">Guangzhou Tech Solutions Ltd.</w:t>
      </w:r>
      <w:r>
        <w:br/>
      </w:r>
      <w:r>
        <w:t xml:space="preserve">88 Tianhe Road, Tianhe District</w:t>
      </w:r>
      <w:r>
        <w:br/>
      </w:r>
      <w:r>
        <w:t xml:space="preserve">Guangzhou, Guangdong Province, China</w:t>
      </w:r>
      <w:r>
        <w:br/>
      </w:r>
      <w:r>
        <w:t xml:space="preserve">Tel: +86-20-8888-6600</w:t>
      </w:r>
      <w:r>
        <w:br/>
      </w:r>
      <w:r>
        <w:t xml:space="preserve">Email: estimates@gztechsolutions.cn</w:t>
      </w:r>
    </w:p>
    <w:p>
      <w:pPr>
        <w:pStyle w:val="BodyText"/>
      </w:pPr>
      <w:r>
        <w:rPr>
          <w:bCs/>
          <w:b/>
        </w:rPr>
        <w:t xml:space="preserve">Prepared For:</w:t>
      </w:r>
      <w:r>
        <w:br/>
      </w:r>
      <w:r>
        <w:t xml:space="preserve">[Client Name / Company]</w:t>
      </w:r>
      <w:r>
        <w:br/>
      </w:r>
      <w:r>
        <w:t xml:space="preserve">[Client Address]</w:t>
      </w:r>
      <w:r>
        <w:br/>
      </w:r>
      <w:r>
        <w:t xml:space="preserve">Guangzhou, China</w:t>
      </w:r>
      <w:r>
        <w:br/>
      </w:r>
      <w:r>
        <w:t xml:space="preserve">Contact: [Client Contact Person]</w:t>
      </w:r>
      <w:r>
        <w:br/>
      </w:r>
      <w:r>
        <w:t xml:space="preserve">Email: [Client Email]</w:t>
      </w:r>
    </w:p>
    <w:bookmarkStart w:id="21" w:name="purpose-of-this-quotation-estimate"/>
    <w:p>
      <w:pPr>
        <w:pStyle w:val="Heading2"/>
      </w:pPr>
      <w:r>
        <w:t xml:space="preserve">1. Purpose of This Quotation Estimate</w:t>
      </w:r>
    </w:p>
    <w:p>
      <w:pPr>
        <w:pStyle w:val="FirstParagraph"/>
      </w:pPr>
      <w:r>
        <w:t xml:space="preserve">This Quotation Estimate is issued by Guangzhou Tech Solutions Ltd. to provide a comprehensive and itemised cost breakdown for the engagement of a qualified Systems Engineer to deliver infrastructure design, deployment, and ongoing technical support services within the China Guangzhou metropolitan area. This document serves as a formal proposal outlining the scope of work, deliverables, timelines, and associated financial commitments. All pricing presented in this Quotation Estimate is based on current market rates applicable to the China Guangzhou technology sector and reflects the specialised expertise required for enterprise-grade systems engineering.</w:t>
      </w:r>
    </w:p>
    <w:bookmarkEnd w:id="21"/>
    <w:bookmarkStart w:id="22" w:name="X09324f8132ad998e68702bab1861d90e0f3de50"/>
    <w:p>
      <w:pPr>
        <w:pStyle w:val="Heading2"/>
      </w:pPr>
      <w:r>
        <w:t xml:space="preserve">2. Scope of Services — Systems Engineer Engagement</w:t>
      </w:r>
    </w:p>
    <w:p>
      <w:pPr>
        <w:pStyle w:val="FirstParagraph"/>
      </w:pPr>
      <w:r>
        <w:t xml:space="preserve">The Systems Engineer engaged under this Quotation Estimate will be responsible for the following core activities within the China Guangzhou operational environment:</w:t>
      </w:r>
    </w:p>
    <w:p>
      <w:pPr>
        <w:numPr>
          <w:ilvl w:val="0"/>
          <w:numId w:val="1001"/>
        </w:numPr>
        <w:pStyle w:val="Compact"/>
      </w:pPr>
      <w:r>
        <w:t xml:space="preserve">Design and architecture of enterprise server infrastructure, including virtualisation platforms (VMware, Hyper-V) and containerised workloads (Kubernetes, Docker).</w:t>
      </w:r>
    </w:p>
    <w:p>
      <w:pPr>
        <w:numPr>
          <w:ilvl w:val="0"/>
          <w:numId w:val="1001"/>
        </w:numPr>
        <w:pStyle w:val="Compact"/>
      </w:pPr>
      <w:r>
        <w:t xml:space="preserve">Deployment and configuration of network infrastructure, including firewalls, load balancers, and SD-WAN solutions tailored to the China Guangzhou data centre ecosystem.</w:t>
      </w:r>
    </w:p>
    <w:p>
      <w:pPr>
        <w:numPr>
          <w:ilvl w:val="0"/>
          <w:numId w:val="1001"/>
        </w:numPr>
        <w:pStyle w:val="Compact"/>
      </w:pPr>
      <w:r>
        <w:t xml:space="preserve">Implementation of cloud hybrid solutions integrating Alibaba Cloud, Tencent Cloud, and on-premises hardware resources.</w:t>
      </w:r>
    </w:p>
    <w:p>
      <w:pPr>
        <w:numPr>
          <w:ilvl w:val="0"/>
          <w:numId w:val="1001"/>
        </w:numPr>
        <w:pStyle w:val="Compact"/>
      </w:pPr>
      <w:r>
        <w:t xml:space="preserve">Development and execution of disaster recovery and business continuity plans compliant with China's Cybersecurity Law and Data Security Law.</w:t>
      </w:r>
    </w:p>
    <w:p>
      <w:pPr>
        <w:numPr>
          <w:ilvl w:val="0"/>
          <w:numId w:val="1001"/>
        </w:numPr>
        <w:pStyle w:val="Compact"/>
      </w:pPr>
      <w:r>
        <w:t xml:space="preserve">Performance monitoring, capacity planning, and proactive maintenance of all IT systems hosted in the China Guangzhou region.</w:t>
      </w:r>
    </w:p>
    <w:p>
      <w:pPr>
        <w:numPr>
          <w:ilvl w:val="0"/>
          <w:numId w:val="1001"/>
        </w:numPr>
        <w:pStyle w:val="Compact"/>
      </w:pPr>
      <w:r>
        <w:t xml:space="preserve">Security hardening, vulnerability assessment, and penetration testing of all deployed systems.</w:t>
      </w:r>
    </w:p>
    <w:p>
      <w:pPr>
        <w:numPr>
          <w:ilvl w:val="0"/>
          <w:numId w:val="1001"/>
        </w:numPr>
        <w:pStyle w:val="Compact"/>
      </w:pPr>
      <w:r>
        <w:t xml:space="preserve">Technical documentation, knowledge transfer, and training for the client's in-house IT staff based in Guangzhou.</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Systems Engineer — Senior (Infrastructure Architecture &amp; Design)</w:t>
            </w:r>
          </w:p>
        </w:tc>
        <w:tc>
          <w:tcPr/>
          <w:p>
            <w:pPr>
              <w:pStyle w:val="Compact"/>
              <w:jc w:val="left"/>
            </w:pPr>
            <w:r>
              <w:t xml:space="preserve">3 months</w:t>
            </w:r>
          </w:p>
        </w:tc>
        <w:tc>
          <w:tcPr/>
          <w:p>
            <w:pPr>
              <w:pStyle w:val="Compact"/>
              <w:jc w:val="left"/>
            </w:pPr>
            <w:r>
              <w:t xml:space="preserve">45,000 / month</w:t>
            </w:r>
          </w:p>
        </w:tc>
        <w:tc>
          <w:tcPr/>
          <w:p>
            <w:pPr>
              <w:pStyle w:val="Compact"/>
              <w:jc w:val="left"/>
            </w:pPr>
            <w:r>
              <w:t xml:space="preserve">135,000</w:t>
            </w:r>
          </w:p>
        </w:tc>
      </w:tr>
      <w:tr>
        <w:tc>
          <w:tcPr/>
          <w:p>
            <w:pPr>
              <w:pStyle w:val="Compact"/>
              <w:jc w:val="left"/>
            </w:pPr>
            <w:r>
              <w:t xml:space="preserve">02</w:t>
            </w:r>
          </w:p>
        </w:tc>
        <w:tc>
          <w:tcPr/>
          <w:p>
            <w:pPr>
              <w:pStyle w:val="Compact"/>
              <w:jc w:val="left"/>
            </w:pPr>
            <w:r>
              <w:t xml:space="preserve">Systems Engineer — Mid-Level (Deployment &amp; Configuration)</w:t>
            </w:r>
          </w:p>
        </w:tc>
        <w:tc>
          <w:tcPr/>
          <w:p>
            <w:pPr>
              <w:pStyle w:val="Compact"/>
              <w:jc w:val="left"/>
            </w:pPr>
            <w:r>
              <w:t xml:space="preserve">3 months</w:t>
            </w:r>
          </w:p>
        </w:tc>
        <w:tc>
          <w:tcPr/>
          <w:p>
            <w:pPr>
              <w:pStyle w:val="Compact"/>
              <w:jc w:val="left"/>
            </w:pPr>
            <w:r>
              <w:t xml:space="preserve">28,000 / month</w:t>
            </w:r>
          </w:p>
        </w:tc>
        <w:tc>
          <w:tcPr/>
          <w:p>
            <w:pPr>
              <w:pStyle w:val="Compact"/>
              <w:jc w:val="left"/>
            </w:pPr>
            <w:r>
              <w:t xml:space="preserve">84,000</w:t>
            </w:r>
          </w:p>
        </w:tc>
      </w:tr>
      <w:tr>
        <w:tc>
          <w:tcPr/>
          <w:p>
            <w:pPr>
              <w:pStyle w:val="Compact"/>
              <w:jc w:val="left"/>
            </w:pPr>
            <w:r>
              <w:t xml:space="preserve">03</w:t>
            </w:r>
          </w:p>
        </w:tc>
        <w:tc>
          <w:tcPr/>
          <w:p>
            <w:pPr>
              <w:pStyle w:val="Compact"/>
              <w:jc w:val="left"/>
            </w:pPr>
            <w:r>
              <w:t xml:space="preserve">Network &amp; Security Engineering (Firewall, IDS/IPS, SD-WAN)</w:t>
            </w:r>
          </w:p>
        </w:tc>
        <w:tc>
          <w:tcPr/>
          <w:p>
            <w:pPr>
              <w:pStyle w:val="Compact"/>
              <w:jc w:val="left"/>
            </w:pPr>
            <w:r>
              <w:t xml:space="preserve">2 months</w:t>
            </w:r>
          </w:p>
        </w:tc>
        <w:tc>
          <w:tcPr/>
          <w:p>
            <w:pPr>
              <w:pStyle w:val="Compact"/>
              <w:jc w:val="left"/>
            </w:pPr>
            <w:r>
              <w:t xml:space="preserve">32,000 / month</w:t>
            </w:r>
          </w:p>
        </w:tc>
        <w:tc>
          <w:tcPr/>
          <w:p>
            <w:pPr>
              <w:pStyle w:val="Compact"/>
              <w:jc w:val="left"/>
            </w:pPr>
            <w:r>
              <w:t xml:space="preserve">64,000</w:t>
            </w:r>
          </w:p>
        </w:tc>
      </w:tr>
      <w:tr>
        <w:tc>
          <w:tcPr/>
          <w:p>
            <w:pPr>
              <w:pStyle w:val="Compact"/>
              <w:jc w:val="left"/>
            </w:pPr>
            <w:r>
              <w:t xml:space="preserve">04</w:t>
            </w:r>
          </w:p>
        </w:tc>
        <w:tc>
          <w:tcPr/>
          <w:p>
            <w:pPr>
              <w:pStyle w:val="Compact"/>
              <w:jc w:val="left"/>
            </w:pPr>
            <w:r>
              <w:t xml:space="preserve">Cloud Integration &amp; Hybrid Architecture (Alibaba Cloud / Tencent Cloud)</w:t>
            </w:r>
          </w:p>
        </w:tc>
        <w:tc>
          <w:tcPr/>
          <w:p>
            <w:pPr>
              <w:pStyle w:val="Compact"/>
              <w:jc w:val="left"/>
            </w:pPr>
            <w:r>
              <w:t xml:space="preserve">2 months</w:t>
            </w:r>
          </w:p>
        </w:tc>
        <w:tc>
          <w:tcPr/>
          <w:p>
            <w:pPr>
              <w:pStyle w:val="Compact"/>
              <w:jc w:val="left"/>
            </w:pPr>
            <w:r>
              <w:t xml:space="preserve">35,000 / month</w:t>
            </w:r>
          </w:p>
        </w:tc>
        <w:tc>
          <w:tcPr/>
          <w:p>
            <w:pPr>
              <w:pStyle w:val="Compact"/>
              <w:jc w:val="left"/>
            </w:pPr>
            <w:r>
              <w:t xml:space="preserve">70,000</w:t>
            </w:r>
          </w:p>
        </w:tc>
      </w:tr>
      <w:tr>
        <w:tc>
          <w:tcPr/>
          <w:p>
            <w:pPr>
              <w:pStyle w:val="Compact"/>
              <w:jc w:val="left"/>
            </w:pPr>
            <w:r>
              <w:t xml:space="preserve">05</w:t>
            </w:r>
          </w:p>
        </w:tc>
        <w:tc>
          <w:tcPr/>
          <w:p>
            <w:pPr>
              <w:pStyle w:val="Compact"/>
              <w:jc w:val="left"/>
            </w:pPr>
            <w:r>
              <w:t xml:space="preserve">Disaster Recovery &amp; Business Continuity Planning</w:t>
            </w:r>
          </w:p>
        </w:tc>
        <w:tc>
          <w:tcPr/>
          <w:p>
            <w:pPr>
              <w:pStyle w:val="Compact"/>
              <w:jc w:val="left"/>
            </w:pPr>
            <w:r>
              <w:t xml:space="preserve">1 month</w:t>
            </w:r>
          </w:p>
        </w:tc>
        <w:tc>
          <w:tcPr/>
          <w:p>
            <w:pPr>
              <w:pStyle w:val="Compact"/>
              <w:jc w:val="left"/>
            </w:pPr>
            <w:r>
              <w:t xml:space="preserve">25,000 / month</w:t>
            </w:r>
          </w:p>
        </w:tc>
        <w:tc>
          <w:tcPr/>
          <w:p>
            <w:pPr>
              <w:pStyle w:val="Compact"/>
              <w:jc w:val="left"/>
            </w:pPr>
            <w:r>
              <w:t xml:space="preserve">25,000</w:t>
            </w:r>
          </w:p>
        </w:tc>
      </w:tr>
      <w:tr>
        <w:tc>
          <w:tcPr/>
          <w:p>
            <w:pPr>
              <w:pStyle w:val="Compact"/>
              <w:jc w:val="left"/>
            </w:pPr>
            <w:r>
              <w:t xml:space="preserve">06</w:t>
            </w:r>
          </w:p>
        </w:tc>
        <w:tc>
          <w:tcPr/>
          <w:p>
            <w:pPr>
              <w:pStyle w:val="Compact"/>
              <w:jc w:val="left"/>
            </w:pPr>
            <w:r>
              <w:t xml:space="preserve">Technical Documentation &amp; Knowledge Transfer Sessions</w:t>
            </w:r>
          </w:p>
        </w:tc>
        <w:tc>
          <w:tcPr/>
          <w:p>
            <w:pPr>
              <w:pStyle w:val="Compact"/>
              <w:jc w:val="left"/>
            </w:pPr>
            <w:r>
              <w:t xml:space="preserve">1 month</w:t>
            </w:r>
          </w:p>
        </w:tc>
        <w:tc>
          <w:tcPr/>
          <w:p>
            <w:pPr>
              <w:pStyle w:val="Compact"/>
              <w:jc w:val="left"/>
            </w:pPr>
            <w:r>
              <w:t xml:space="preserve">18,000 / month</w:t>
            </w:r>
          </w:p>
        </w:tc>
        <w:tc>
          <w:tcPr/>
          <w:p>
            <w:pPr>
              <w:pStyle w:val="Compact"/>
              <w:jc w:val="left"/>
            </w:pPr>
            <w:r>
              <w:t xml:space="preserve">18,000</w:t>
            </w:r>
          </w:p>
        </w:tc>
      </w:tr>
      <w:tr>
        <w:tc>
          <w:tcPr/>
          <w:p>
            <w:pPr>
              <w:pStyle w:val="Compact"/>
              <w:jc w:val="left"/>
            </w:pPr>
            <w:r>
              <w:t xml:space="preserve">07</w:t>
            </w:r>
          </w:p>
        </w:tc>
        <w:tc>
          <w:tcPr/>
          <w:p>
            <w:pPr>
              <w:pStyle w:val="Compact"/>
              <w:jc w:val="left"/>
            </w:pPr>
            <w:r>
              <w:t xml:space="preserve">On-site Travel &amp; Local Logistics within China Guangzhou</w:t>
            </w:r>
          </w:p>
        </w:tc>
        <w:tc>
          <w:tcPr/>
          <w:p>
            <w:pPr>
              <w:pStyle w:val="Compact"/>
              <w:jc w:val="left"/>
            </w:pPr>
            <w:r>
              <w:t xml:space="preserve">3 months</w:t>
            </w:r>
          </w:p>
        </w:tc>
        <w:tc>
          <w:tcPr/>
          <w:p>
            <w:pPr>
              <w:pStyle w:val="Compact"/>
              <w:jc w:val="left"/>
            </w:pPr>
            <w:r>
              <w:t xml:space="preserve">6,000 / month</w:t>
            </w:r>
          </w:p>
        </w:tc>
        <w:tc>
          <w:tcPr/>
          <w:p>
            <w:pPr>
              <w:pStyle w:val="Compact"/>
              <w:jc w:val="left"/>
            </w:pPr>
            <w:r>
              <w:t xml:space="preserve">18,000</w:t>
            </w:r>
          </w:p>
        </w:tc>
      </w:tr>
      <w:tr>
        <w:tc>
          <w:tcPr/>
          <w:p>
            <w:pPr>
              <w:pStyle w:val="Compact"/>
              <w:jc w:val="left"/>
            </w:pPr>
            <w:r>
              <w:t xml:space="preserve">08</w:t>
            </w:r>
          </w:p>
        </w:tc>
        <w:tc>
          <w:tcPr/>
          <w:p>
            <w:pPr>
              <w:pStyle w:val="Compact"/>
              <w:jc w:val="left"/>
            </w:pPr>
            <w:r>
              <w:t xml:space="preserve">Project Management &amp; Coordination (Guangzhou Office)</w:t>
            </w:r>
          </w:p>
        </w:tc>
        <w:tc>
          <w:tcPr/>
          <w:p>
            <w:pPr>
              <w:pStyle w:val="Compact"/>
              <w:jc w:val="left"/>
            </w:pPr>
            <w:r>
              <w:t xml:space="preserve">3 months</w:t>
            </w:r>
          </w:p>
        </w:tc>
        <w:tc>
          <w:tcPr/>
          <w:p>
            <w:pPr>
              <w:pStyle w:val="Compact"/>
              <w:jc w:val="left"/>
            </w:pPr>
            <w:r>
              <w:t xml:space="preserve">15,000 / month</w:t>
            </w:r>
          </w:p>
        </w:tc>
        <w:tc>
          <w:tcPr/>
          <w:p>
            <w:pPr>
              <w:pStyle w:val="Compact"/>
              <w:jc w:val="left"/>
            </w:pPr>
            <w:r>
              <w:t xml:space="preserve">45,000</w:t>
            </w:r>
          </w:p>
        </w:tc>
      </w:tr>
      <w:tr>
        <w:tc>
          <w:tcPr>
            <w:gridSpan w:val="4"/>
          </w:tcPr>
          <w:p>
            <w:pPr>
              <w:pStyle w:val="Compact"/>
              <w:jc w:val="left"/>
            </w:pPr>
            <w:r>
              <w:t xml:space="preserve">Subtotal (CNY)</w:t>
            </w:r>
          </w:p>
        </w:tc>
        <w:tc>
          <w:tcPr/>
          <w:p>
            <w:pPr>
              <w:pStyle w:val="Compact"/>
              <w:jc w:val="left"/>
            </w:pPr>
            <w:r>
              <w:t xml:space="preserve">459,000</w:t>
            </w:r>
          </w:p>
        </w:tc>
      </w:tr>
      <w:tr>
        <w:tc>
          <w:tcPr>
            <w:gridSpan w:val="4"/>
          </w:tcPr>
          <w:p>
            <w:pPr>
              <w:pStyle w:val="Compact"/>
              <w:jc w:val="left"/>
            </w:pPr>
            <w:r>
              <w:t xml:space="preserve">VAT (6% — Technology Services, PRC)</w:t>
            </w:r>
          </w:p>
        </w:tc>
        <w:tc>
          <w:tcPr/>
          <w:p>
            <w:pPr>
              <w:pStyle w:val="Compact"/>
              <w:jc w:val="left"/>
            </w:pPr>
            <w:r>
              <w:t xml:space="preserve">27,540</w:t>
            </w:r>
          </w:p>
        </w:tc>
      </w:tr>
      <w:tr>
        <w:tc>
          <w:tcPr>
            <w:gridSpan w:val="4"/>
          </w:tcPr>
          <w:p>
            <w:pPr>
              <w:pStyle w:val="Compact"/>
              <w:jc w:val="left"/>
            </w:pPr>
            <w:r>
              <w:rPr>
                <w:bCs/>
                <w:b/>
              </w:rPr>
              <w:t xml:space="preserve">TOTAL ESTIMATED COST (CNY)</w:t>
            </w:r>
          </w:p>
        </w:tc>
        <w:tc>
          <w:tcPr/>
          <w:p>
            <w:pPr>
              <w:pStyle w:val="Compact"/>
              <w:jc w:val="left"/>
            </w:pPr>
            <w:r>
              <w:rPr>
                <w:bCs/>
                <w:b/>
              </w:rPr>
              <w:t xml:space="preserve">486,540</w:t>
            </w:r>
          </w:p>
        </w:tc>
      </w:tr>
    </w:tbl>
    <w:bookmarkEnd w:id="23"/>
    <w:bookmarkStart w:id="24" w:name="project-timeline-milestones"/>
    <w:p>
      <w:pPr>
        <w:pStyle w:val="Heading2"/>
      </w:pPr>
      <w:r>
        <w:t xml:space="preserve">4. Project Timeline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Timeline</w:t>
            </w:r>
          </w:p>
        </w:tc>
      </w:tr>
      <w:tr>
        <w:tc>
          <w:tcPr/>
          <w:p>
            <w:pPr>
              <w:pStyle w:val="Compact"/>
              <w:jc w:val="left"/>
            </w:pPr>
            <w:r>
              <w:t xml:space="preserve">Phase 1</w:t>
            </w:r>
          </w:p>
        </w:tc>
        <w:tc>
          <w:tcPr/>
          <w:p>
            <w:pPr>
              <w:pStyle w:val="Compact"/>
              <w:jc w:val="left"/>
            </w:pPr>
            <w:r>
              <w:t xml:space="preserve">Requirements gathering, site assessment in China Guangzhou, and architecture design</w:t>
            </w:r>
          </w:p>
        </w:tc>
        <w:tc>
          <w:tcPr/>
          <w:p>
            <w:pPr>
              <w:pStyle w:val="Compact"/>
              <w:jc w:val="left"/>
            </w:pPr>
            <w:r>
              <w:t xml:space="preserve">Weeks 1–4</w:t>
            </w:r>
          </w:p>
        </w:tc>
      </w:tr>
      <w:tr>
        <w:tc>
          <w:tcPr/>
          <w:p>
            <w:pPr>
              <w:pStyle w:val="Compact"/>
              <w:jc w:val="left"/>
            </w:pPr>
            <w:r>
              <w:t xml:space="preserve">Phase 2</w:t>
            </w:r>
          </w:p>
        </w:tc>
        <w:tc>
          <w:tcPr/>
          <w:p>
            <w:pPr>
              <w:pStyle w:val="Compact"/>
              <w:jc w:val="left"/>
            </w:pPr>
            <w:r>
              <w:t xml:space="preserve">Infrastructure deployment, network configuration, and cloud integration</w:t>
            </w:r>
          </w:p>
        </w:tc>
        <w:tc>
          <w:tcPr/>
          <w:p>
            <w:pPr>
              <w:pStyle w:val="Compact"/>
              <w:jc w:val="left"/>
            </w:pPr>
            <w:r>
              <w:t xml:space="preserve">Weeks 5–10</w:t>
            </w:r>
          </w:p>
        </w:tc>
      </w:tr>
      <w:tr>
        <w:tc>
          <w:tcPr/>
          <w:p>
            <w:pPr>
              <w:pStyle w:val="Compact"/>
              <w:jc w:val="left"/>
            </w:pPr>
            <w:r>
              <w:t xml:space="preserve">Phase 3</w:t>
            </w:r>
          </w:p>
        </w:tc>
        <w:tc>
          <w:tcPr/>
          <w:p>
            <w:pPr>
              <w:pStyle w:val="Compact"/>
              <w:jc w:val="left"/>
            </w:pPr>
            <w:r>
              <w:t xml:space="preserve">Security hardening, DR/BCP implementation, and testing</w:t>
            </w:r>
          </w:p>
        </w:tc>
        <w:tc>
          <w:tcPr/>
          <w:p>
            <w:pPr>
              <w:pStyle w:val="Compact"/>
              <w:jc w:val="left"/>
            </w:pPr>
            <w:r>
              <w:t xml:space="preserve">Weeks 11–14</w:t>
            </w:r>
          </w:p>
        </w:tc>
      </w:tr>
      <w:tr>
        <w:tc>
          <w:tcPr/>
          <w:p>
            <w:pPr>
              <w:pStyle w:val="Compact"/>
              <w:jc w:val="left"/>
            </w:pPr>
            <w:r>
              <w:t xml:space="preserve">Phase 4</w:t>
            </w:r>
          </w:p>
        </w:tc>
        <w:tc>
          <w:tcPr/>
          <w:p>
            <w:pPr>
              <w:pStyle w:val="Compact"/>
              <w:jc w:val="left"/>
            </w:pPr>
            <w:r>
              <w:t xml:space="preserve">Documentation, training, handover, and 30-day post-deployment support</w:t>
            </w:r>
          </w:p>
        </w:tc>
        <w:tc>
          <w:tcPr/>
          <w:p>
            <w:pPr>
              <w:pStyle w:val="Compact"/>
              <w:jc w:val="left"/>
            </w:pPr>
            <w:r>
              <w:t xml:space="preserve">Weeks 15–18</w:t>
            </w:r>
          </w:p>
        </w:tc>
      </w:tr>
    </w:tbl>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thirty (30) calendar days from the date of issue. Beyond this period, pricing may be subject to revision due to market fluctuations in the China Guangzhou technology labour market.</w:t>
      </w:r>
    </w:p>
    <w:p>
      <w:pPr>
        <w:numPr>
          <w:ilvl w:val="0"/>
          <w:numId w:val="1002"/>
        </w:numPr>
        <w:pStyle w:val="Compact"/>
      </w:pPr>
      <w:r>
        <w:t xml:space="preserve">Payment terms: 40% advance upon contract signing, 40% upon completion of Phase 2, and 20% upon final acceptance and handover.</w:t>
      </w:r>
    </w:p>
    <w:p>
      <w:pPr>
        <w:numPr>
          <w:ilvl w:val="0"/>
          <w:numId w:val="1002"/>
        </w:numPr>
        <w:pStyle w:val="Compact"/>
      </w:pPr>
      <w:r>
        <w:t xml:space="preserve">All work will be performed in compliance with the Cybersecurity Law of the People's Republic of China, the Data Security Law, and the Personal Information Protection Law (PIPL).</w:t>
      </w:r>
    </w:p>
    <w:p>
      <w:pPr>
        <w:numPr>
          <w:ilvl w:val="0"/>
          <w:numId w:val="1002"/>
        </w:numPr>
        <w:pStyle w:val="Compact"/>
      </w:pPr>
      <w:r>
        <w:t xml:space="preserve">The Systems Engineer personnel assigned to this project will be based in or regularly travel to the client's premises in China Guangzhou. Any international travel outside of Guangzhou will be quoted separately.</w:t>
      </w:r>
    </w:p>
    <w:p>
      <w:pPr>
        <w:numPr>
          <w:ilvl w:val="0"/>
          <w:numId w:val="1002"/>
        </w:numPr>
        <w:pStyle w:val="Compact"/>
      </w:pPr>
      <w:r>
        <w:t xml:space="preserve">Intellectual property developed specifically for the client under this engagement shall be transferred to the client upon full payment.</w:t>
      </w:r>
    </w:p>
    <w:p>
      <w:pPr>
        <w:numPr>
          <w:ilvl w:val="0"/>
          <w:numId w:val="1002"/>
        </w:numPr>
        <w:pStyle w:val="Compact"/>
      </w:pPr>
      <w:r>
        <w:t xml:space="preserve">Any changes to the scope of work must be documented in a formal Change Order and approved in writing by both parties before additional costs are incurred.</w:t>
      </w:r>
    </w:p>
    <w:p>
      <w:pPr>
        <w:numPr>
          <w:ilvl w:val="0"/>
          <w:numId w:val="1002"/>
        </w:numPr>
        <w:pStyle w:val="Compact"/>
      </w:pPr>
      <w:r>
        <w:t xml:space="preserve">This Quotation Estimate does not constitute a binding contract until a formal Service Agreement is executed by both parties.</w:t>
      </w:r>
    </w:p>
    <w:p>
      <w:pPr>
        <w:pStyle w:val="FirstParagraph"/>
      </w:pPr>
      <w:r>
        <w:rPr>
          <w:bCs/>
          <w:b/>
        </w:rPr>
        <w:t xml:space="preserve">Note:</w:t>
      </w:r>
      <w:r>
        <w:t xml:space="preserve"> </w:t>
      </w:r>
      <w:r>
        <w:t xml:space="preserve">All rates quoted in this Quotation Estimate are in Chinese Yuan (CNY) and are inclusive of the Systems Engineer's professional fees, local transportation within Guangzhou, and standard working hours (Monday to Friday, 09:00–18:00 CST). Overtime or after-hours emergency support will be billed at 1.5x the applicable hourly rate. Hardware, software licences, and third-party cloud consumption costs are excluded from this estimate and will be procured directly by the client.</w:t>
      </w:r>
    </w:p>
    <w:bookmarkEnd w:id="25"/>
    <w:bookmarkStart w:id="26" w:name="acceptance-authorisation"/>
    <w:p>
      <w:pPr>
        <w:pStyle w:val="Heading2"/>
      </w:pPr>
      <w:r>
        <w:t xml:space="preserve">6. Acceptance &amp; Authorisation</w:t>
      </w:r>
    </w:p>
    <w:p>
      <w:pPr>
        <w:pStyle w:val="FirstParagraph"/>
      </w:pPr>
      <w:r>
        <w:t xml:space="preserve">By signing below, the client acknowledges receipt of this Quotation Estimate for Systems Engineer services in China Guangzhou and agrees to the terms, conditions, and pricing outlined herein. This signature constitutes a request to proceed with the formal contract preparation.</w:t>
      </w:r>
    </w:p>
    <w:p>
      <w:pPr>
        <w:pStyle w:val="BodyText"/>
      </w:pPr>
      <w:r>
        <w:t xml:space="preserve">For: Guangzhou Tech Solutions Ltd.</w:t>
      </w:r>
      <w:r>
        <w:br/>
      </w:r>
      <w:r>
        <w:t xml:space="preserve">Name: _________________________</w:t>
      </w:r>
      <w:r>
        <w:br/>
      </w:r>
      <w:r>
        <w:t xml:space="preserve">Title: Director of Engineering</w:t>
      </w:r>
      <w:r>
        <w:br/>
      </w:r>
      <w:r>
        <w:t xml:space="preserve">Date: _________________________</w:t>
      </w:r>
    </w:p>
    <w:p>
      <w:pPr>
        <w:pStyle w:val="BodyText"/>
      </w:pPr>
      <w:r>
        <w:t xml:space="preserve">For: [Client Company Name]</w:t>
      </w:r>
      <w:r>
        <w:br/>
      </w:r>
      <w:r>
        <w:t xml:space="preserve">Name: _________________________</w:t>
      </w:r>
      <w:r>
        <w:br/>
      </w:r>
      <w:r>
        <w:t xml:space="preserve">Title: _________________________</w:t>
      </w:r>
      <w:r>
        <w:br/>
      </w:r>
      <w:r>
        <w:t xml:space="preserve">Date: _________________________</w:t>
      </w:r>
    </w:p>
    <w:p>
      <w:pPr>
        <w:pStyle w:val="BodyText"/>
      </w:pPr>
      <w:r>
        <w:t xml:space="preserve">Guangzhou Tech Solutions Ltd. | Unified Social Credit Code: 91440101MA5XXXXX00 | Registered in Tianhe District, Guangzhou, Guangdong, PRC</w:t>
      </w:r>
    </w:p>
    <w:p>
      <w:pPr>
        <w:pStyle w:val="BodyText"/>
      </w:pPr>
      <w:r>
        <w:t xml:space="preserve">This Quotation Estimate document is confidential and intended solely for the named recipient. Unauthorised reproduction or distribution is prohibited.</w:t>
      </w:r>
    </w:p>
    <w:p>
      <w:pPr>
        <w:pStyle w:val="BodyText"/>
      </w:pPr>
      <w:r>
        <w:t xml:space="preserve">Document Version: 1.0 | Generated: 15 January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China Guangzhou</dc:title>
  <dc:creator/>
  <dc:language>en</dc:language>
  <cp:keywords/>
  <dcterms:created xsi:type="dcterms:W3CDTF">2026-10-10T01:52:55Z</dcterms:created>
  <dcterms:modified xsi:type="dcterms:W3CDTF">2026-10-10T01:52:55Z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