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Egypt</w:t>
      </w:r>
      <w:r>
        <w:t xml:space="preserve"> </w:t>
      </w:r>
      <w:r>
        <w:t xml:space="preserve">Alexandria</w:t>
      </w:r>
    </w:p>
    <w:bookmarkStart w:id="20" w:name="quotation-estimate"/>
    <w:p>
      <w:pPr>
        <w:pStyle w:val="Heading1"/>
      </w:pPr>
      <w:r>
        <w:t xml:space="preserve">QUOTATION ESTIMATE</w:t>
      </w:r>
    </w:p>
    <w:p>
      <w:pPr>
        <w:pStyle w:val="FirstParagraph"/>
      </w:pPr>
      <w:r>
        <w:t xml:space="preserve">Professional Systems Engineer Services — Egypt Alexandria</w:t>
      </w:r>
    </w:p>
    <w:p>
      <w:pPr>
        <w:pStyle w:val="BodyText"/>
      </w:pPr>
      <w:r>
        <w:t xml:space="preserve">Document Reference: QE-SEA-2025-0472</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QE-SEA-2025-0472</w:t>
            </w:r>
          </w:p>
        </w:tc>
      </w:tr>
      <w:tr>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Valid Until:</w:t>
            </w:r>
          </w:p>
        </w:tc>
        <w:tc>
          <w:tcPr/>
          <w:p>
            <w:pPr>
              <w:pStyle w:val="Compact"/>
              <w:jc w:val="left"/>
            </w:pPr>
            <w:r>
              <w:t xml:space="preserve">July 15, 2025 (30 calendar days)</w:t>
            </w:r>
          </w:p>
        </w:tc>
      </w:tr>
      <w:tr>
        <w:tc>
          <w:tcPr/>
          <w:p>
            <w:pPr>
              <w:pStyle w:val="Compact"/>
              <w:jc w:val="left"/>
            </w:pPr>
            <w:r>
              <w:t xml:space="preserve">Prepared By:</w:t>
            </w:r>
          </w:p>
        </w:tc>
        <w:tc>
          <w:tcPr/>
          <w:p>
            <w:pPr>
              <w:pStyle w:val="Compact"/>
              <w:jc w:val="left"/>
            </w:pPr>
            <w:r>
              <w:t xml:space="preserve">Dr. Mahmoud El-Sayed, Lead Systems Engineer</w:t>
            </w:r>
          </w:p>
        </w:tc>
      </w:tr>
      <w:tr>
        <w:tc>
          <w:tcPr/>
          <w:p>
            <w:pPr>
              <w:pStyle w:val="Compact"/>
              <w:jc w:val="left"/>
            </w:pPr>
            <w:r>
              <w:t xml:space="preserve">Prepared For:</w:t>
            </w:r>
          </w:p>
        </w:tc>
        <w:tc>
          <w:tcPr/>
          <w:p>
            <w:pPr>
              <w:pStyle w:val="Compact"/>
              <w:jc w:val="left"/>
            </w:pPr>
            <w:r>
              <w:t xml:space="preserve">Client Organization (Name to be confirmed upon acceptance)</w:t>
            </w:r>
          </w:p>
        </w:tc>
      </w:tr>
      <w:tr>
        <w:tc>
          <w:tcPr/>
          <w:p>
            <w:pPr>
              <w:pStyle w:val="Compact"/>
              <w:jc w:val="left"/>
            </w:pPr>
            <w:r>
              <w:t xml:space="preserve">Project Location:</w:t>
            </w:r>
          </w:p>
        </w:tc>
        <w:tc>
          <w:tcPr/>
          <w:p>
            <w:pPr>
              <w:pStyle w:val="Compact"/>
              <w:jc w:val="left"/>
            </w:pPr>
            <w:r>
              <w:t xml:space="preserve">Alexandria, Egypt — Coastal Business District, 21st Street, El-Dokki Area</w:t>
            </w:r>
          </w:p>
        </w:tc>
      </w:tr>
      <w:tr>
        <w:tc>
          <w:tcPr/>
          <w:p>
            <w:pPr>
              <w:pStyle w:val="Compact"/>
              <w:jc w:val="left"/>
            </w:pPr>
            <w:r>
              <w:t xml:space="preserve">Service Category:</w:t>
            </w:r>
          </w:p>
        </w:tc>
        <w:tc>
          <w:tcPr/>
          <w:p>
            <w:pPr>
              <w:pStyle w:val="Compact"/>
              <w:jc w:val="left"/>
            </w:pPr>
            <w:r>
              <w:t xml:space="preserve">Systems Engineer Consulting &amp; Implementation</w:t>
            </w:r>
          </w:p>
        </w:tc>
      </w:tr>
      <w:tr>
        <w:tc>
          <w:tcPr/>
          <w:p>
            <w:pPr>
              <w:pStyle w:val="Compact"/>
              <w:jc w:val="left"/>
            </w:pPr>
            <w:r>
              <w:t xml:space="preserve">Currency:</w:t>
            </w:r>
          </w:p>
        </w:tc>
        <w:tc>
          <w:tcPr/>
          <w:p>
            <w:pPr>
              <w:pStyle w:val="Compact"/>
              <w:jc w:val="left"/>
            </w:pPr>
            <w:r>
              <w:t xml:space="preserve">Egyptian Pound (EGP) / US Dollar (USD)</w:t>
            </w:r>
          </w:p>
        </w:tc>
      </w:tr>
    </w:tbl>
    <w:bookmarkStart w:id="21" w:name="executive-summary"/>
    <w:p>
      <w:pPr>
        <w:pStyle w:val="Heading2"/>
      </w:pPr>
      <w:r>
        <w:t xml:space="preserve">1. Executive Summary</w:t>
      </w:r>
    </w:p>
    <w:p>
      <w:pPr>
        <w:pStyle w:val="FirstParagraph"/>
      </w:pPr>
      <w:r>
        <w:t xml:space="preserve">This Quotation Estimate is formally issued to provide a comprehensive and transparent financial breakdown for the engagement of a qualified Systems Engineer to deliver end-to-end infrastructure design, deployment, and ongoing technical support services within the Egypt Alexandria metropolitan region. The scope of this Quotation Estimate encompasses all labor, travel, licensing, and ancillary costs associated with the Systems Engineer role as defined in the attached Statement of Work. All pricing presented herein reflects current market rates applicable to the Egypt Alexandria technology sector as of the date of issue and is subject to the validity period stated above.</w:t>
      </w:r>
    </w:p>
    <w:bookmarkEnd w:id="21"/>
    <w:bookmarkStart w:id="26" w:name="scope-of-work-systems-engineer-services"/>
    <w:p>
      <w:pPr>
        <w:pStyle w:val="Heading2"/>
      </w:pPr>
      <w:r>
        <w:t xml:space="preserve">2. Scope of Work — Systems Engineer Services</w:t>
      </w:r>
    </w:p>
    <w:p>
      <w:pPr>
        <w:pStyle w:val="FirstParagraph"/>
      </w:pPr>
      <w:r>
        <w:t xml:space="preserve">The Systems Engineer engaged under this Quotation Estimate will be responsible for the following deliverables and activities, all to be executed in or around the Egypt Alexandria operational site:</w:t>
      </w:r>
    </w:p>
    <w:bookmarkStart w:id="22" w:name="infrastructure-architecture-design"/>
    <w:p>
      <w:pPr>
        <w:pStyle w:val="Heading3"/>
      </w:pPr>
      <w:r>
        <w:t xml:space="preserve">2.1 Infrastructure Architecture &amp; Design</w:t>
      </w:r>
    </w:p>
    <w:p>
      <w:pPr>
        <w:pStyle w:val="FirstParagraph"/>
      </w:pPr>
      <w:r>
        <w:t xml:space="preserve">The Systems Engineer will conduct a full assessment of the existing IT infrastructure at the Egypt Alexandria facility, produce a detailed architecture blueprint, and recommend scalable solutions aligned with the client's five-year growth trajectory. This includes network topology design, server virtualization planning, and cloud-hybrid integration strategy.</w:t>
      </w:r>
    </w:p>
    <w:bookmarkEnd w:id="22"/>
    <w:bookmarkStart w:id="23" w:name="deployment-configuration"/>
    <w:p>
      <w:pPr>
        <w:pStyle w:val="Heading3"/>
      </w:pPr>
      <w:r>
        <w:t xml:space="preserve">2.2 Deployment &amp; Configuration</w:t>
      </w:r>
    </w:p>
    <w:p>
      <w:pPr>
        <w:pStyle w:val="FirstParagraph"/>
      </w:pPr>
      <w:r>
        <w:t xml:space="preserve">Hands-on implementation of hardware and software components, including but not limited to: rack-and-stack of physical servers, configuration of virtualization platforms (VMware vSphere / Microsoft Hyper-V), network switch and firewall provisioning, and operating system deployment across all designated nodes in the Egypt Alexandria data center.</w:t>
      </w:r>
    </w:p>
    <w:bookmarkEnd w:id="23"/>
    <w:bookmarkStart w:id="24" w:name="security-hardening-compliance"/>
    <w:p>
      <w:pPr>
        <w:pStyle w:val="Heading3"/>
      </w:pPr>
      <w:r>
        <w:t xml:space="preserve">2.3 Security Hardening &amp; Compliance</w:t>
      </w:r>
    </w:p>
    <w:p>
      <w:pPr>
        <w:pStyle w:val="FirstParagraph"/>
      </w:pPr>
      <w:r>
        <w:t xml:space="preserve">The Systems Engineer will perform security baseline hardening in accordance with Egyptian National Cybersecurity Authority (NCA) regulations and international best practices (ISO 27001, NIST 800-53). This includes penetration testing coordination, access control implementation, and audit log configuration.</w:t>
      </w:r>
    </w:p>
    <w:bookmarkEnd w:id="24"/>
    <w:bookmarkStart w:id="25" w:name="ongoing-support-maintenance"/>
    <w:p>
      <w:pPr>
        <w:pStyle w:val="Heading3"/>
      </w:pPr>
      <w:r>
        <w:t xml:space="preserve">2.4 Ongoing Support &amp; Maintenance</w:t>
      </w:r>
    </w:p>
    <w:p>
      <w:pPr>
        <w:pStyle w:val="FirstParagraph"/>
      </w:pPr>
      <w:r>
        <w:t xml:space="preserve">A twelve-month post-deployment support window is included, during which the Systems Engineer will provide on-site visits to the Egypt Alexandria location no fewer than four (4) times per quarter, remote monitoring and incident response within four (4) business hours, and quarterly performance review reports.</w:t>
      </w:r>
    </w:p>
    <w:bookmarkEnd w:id="25"/>
    <w:bookmarkEnd w:id="26"/>
    <w:bookmarkStart w:id="27" w:name="quotation-estimate-detailed-pricing"/>
    <w:p>
      <w:pPr>
        <w:pStyle w:val="Heading2"/>
      </w:pPr>
      <w:r>
        <w:t xml:space="preserve">3. Quotation Estimate — Detailed Pricing</w:t>
      </w:r>
    </w:p>
    <w:p>
      <w:pPr>
        <w:pStyle w:val="FirstParagraph"/>
      </w:pPr>
      <w:r>
        <w:t xml:space="preserve">The following table constitutes the itemized Quotation Estimate for all Systems Engineer services. All figures are inclusive of applicable Egyptian Value Added Tax (VAT) at 14% unless otherwise noted.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Duration / Qty</w:t>
            </w:r>
          </w:p>
        </w:tc>
        <w:tc>
          <w:tcPr/>
          <w:p>
            <w:pPr>
              <w:pStyle w:val="Compact"/>
              <w:jc w:val="left"/>
            </w:pPr>
            <w:r>
              <w:t xml:space="preserve">Unit Rate (EGP)</w:t>
            </w:r>
          </w:p>
        </w:tc>
        <w:tc>
          <w:tcPr/>
          <w:p>
            <w:pPr>
              <w:pStyle w:val="Compact"/>
              <w:jc w:val="left"/>
            </w:pPr>
            <w:r>
              <w:t xml:space="preserve">Subtotal (EGP)</w:t>
            </w:r>
          </w:p>
        </w:tc>
      </w:tr>
      <w:tr>
        <w:tc>
          <w:tcPr/>
          <w:p>
            <w:pPr>
              <w:pStyle w:val="Compact"/>
              <w:jc w:val="left"/>
            </w:pPr>
            <w:r>
              <w:t xml:space="preserve">01</w:t>
            </w:r>
          </w:p>
        </w:tc>
        <w:tc>
          <w:tcPr/>
          <w:p>
            <w:pPr>
              <w:pStyle w:val="Compact"/>
              <w:jc w:val="left"/>
            </w:pPr>
            <w:r>
              <w:t xml:space="preserve">Systems Engineer — Infrastructure Assessment &amp; Architecture Design (Egypt Alexandria site visit included)</w:t>
            </w:r>
          </w:p>
        </w:tc>
        <w:tc>
          <w:tcPr/>
          <w:p>
            <w:pPr>
              <w:pStyle w:val="Compact"/>
              <w:jc w:val="left"/>
            </w:pPr>
            <w:r>
              <w:t xml:space="preserve">10 working days</w:t>
            </w:r>
          </w:p>
        </w:tc>
        <w:tc>
          <w:tcPr/>
          <w:p>
            <w:pPr>
              <w:pStyle w:val="Compact"/>
              <w:jc w:val="left"/>
            </w:pPr>
            <w:r>
              <w:t xml:space="preserve">4,500</w:t>
            </w:r>
          </w:p>
        </w:tc>
        <w:tc>
          <w:tcPr/>
          <w:p>
            <w:pPr>
              <w:pStyle w:val="Compact"/>
              <w:jc w:val="left"/>
            </w:pPr>
            <w:r>
              <w:t xml:space="preserve">45,000</w:t>
            </w:r>
          </w:p>
        </w:tc>
      </w:tr>
      <w:tr>
        <w:tc>
          <w:tcPr/>
          <w:p>
            <w:pPr>
              <w:pStyle w:val="Compact"/>
              <w:jc w:val="left"/>
            </w:pPr>
            <w:r>
              <w:t xml:space="preserve">02</w:t>
            </w:r>
          </w:p>
        </w:tc>
        <w:tc>
          <w:tcPr/>
          <w:p>
            <w:pPr>
              <w:pStyle w:val="Compact"/>
              <w:jc w:val="left"/>
            </w:pPr>
            <w:r>
              <w:t xml:space="preserve">Systems Engineer — Hardware &amp; Software Deployment (on-site, Egypt Alexandria)</w:t>
            </w:r>
          </w:p>
        </w:tc>
        <w:tc>
          <w:tcPr/>
          <w:p>
            <w:pPr>
              <w:pStyle w:val="Compact"/>
              <w:jc w:val="left"/>
            </w:pPr>
            <w:r>
              <w:t xml:space="preserve">20 working days</w:t>
            </w:r>
          </w:p>
        </w:tc>
        <w:tc>
          <w:tcPr/>
          <w:p>
            <w:pPr>
              <w:pStyle w:val="Compact"/>
              <w:jc w:val="left"/>
            </w:pPr>
            <w:r>
              <w:t xml:space="preserve">5,200</w:t>
            </w:r>
          </w:p>
        </w:tc>
        <w:tc>
          <w:tcPr/>
          <w:p>
            <w:pPr>
              <w:pStyle w:val="Compact"/>
              <w:jc w:val="left"/>
            </w:pPr>
            <w:r>
              <w:t xml:space="preserve">104,000</w:t>
            </w:r>
          </w:p>
        </w:tc>
      </w:tr>
      <w:tr>
        <w:tc>
          <w:tcPr/>
          <w:p>
            <w:pPr>
              <w:pStyle w:val="Compact"/>
              <w:jc w:val="left"/>
            </w:pPr>
            <w:r>
              <w:t xml:space="preserve">03</w:t>
            </w:r>
          </w:p>
        </w:tc>
        <w:tc>
          <w:tcPr/>
          <w:p>
            <w:pPr>
              <w:pStyle w:val="Compact"/>
              <w:jc w:val="left"/>
            </w:pPr>
            <w:r>
              <w:t xml:space="preserve">Systems Engineer — Security Hardening &amp; NCA Compliance Audit</w:t>
            </w:r>
          </w:p>
        </w:tc>
        <w:tc>
          <w:tcPr/>
          <w:p>
            <w:pPr>
              <w:pStyle w:val="Compact"/>
              <w:jc w:val="left"/>
            </w:pPr>
            <w:r>
              <w:t xml:space="preserve">8 working days</w:t>
            </w:r>
          </w:p>
        </w:tc>
        <w:tc>
          <w:tcPr/>
          <w:p>
            <w:pPr>
              <w:pStyle w:val="Compact"/>
              <w:jc w:val="left"/>
            </w:pPr>
            <w:r>
              <w:t xml:space="preserve">5,800</w:t>
            </w:r>
          </w:p>
        </w:tc>
        <w:tc>
          <w:tcPr/>
          <w:p>
            <w:pPr>
              <w:pStyle w:val="Compact"/>
              <w:jc w:val="left"/>
            </w:pPr>
            <w:r>
              <w:t xml:space="preserve">46,400</w:t>
            </w:r>
          </w:p>
        </w:tc>
      </w:tr>
      <w:tr>
        <w:tc>
          <w:tcPr/>
          <w:p>
            <w:pPr>
              <w:pStyle w:val="Compact"/>
              <w:jc w:val="left"/>
            </w:pPr>
            <w:r>
              <w:t xml:space="preserve">04</w:t>
            </w:r>
          </w:p>
        </w:tc>
        <w:tc>
          <w:tcPr/>
          <w:p>
            <w:pPr>
              <w:pStyle w:val="Compact"/>
              <w:jc w:val="left"/>
            </w:pPr>
            <w:r>
              <w:t xml:space="preserve">Systems Engineer — Training &amp; Knowledge Transfer to Client Staff (Egypt Alexandria)</w:t>
            </w:r>
          </w:p>
        </w:tc>
        <w:tc>
          <w:tcPr/>
          <w:p>
            <w:pPr>
              <w:pStyle w:val="Compact"/>
              <w:jc w:val="left"/>
            </w:pPr>
            <w:r>
              <w:t xml:space="preserve">5 working days</w:t>
            </w:r>
          </w:p>
        </w:tc>
        <w:tc>
          <w:tcPr/>
          <w:p>
            <w:pPr>
              <w:pStyle w:val="Compact"/>
              <w:jc w:val="left"/>
            </w:pPr>
            <w:r>
              <w:t xml:space="preserve">4,000</w:t>
            </w:r>
          </w:p>
        </w:tc>
        <w:tc>
          <w:tcPr/>
          <w:p>
            <w:pPr>
              <w:pStyle w:val="Compact"/>
              <w:jc w:val="left"/>
            </w:pPr>
            <w:r>
              <w:t xml:space="preserve">20,000</w:t>
            </w:r>
          </w:p>
        </w:tc>
      </w:tr>
      <w:tr>
        <w:tc>
          <w:tcPr/>
          <w:p>
            <w:pPr>
              <w:pStyle w:val="Compact"/>
              <w:jc w:val="left"/>
            </w:pPr>
            <w:r>
              <w:t xml:space="preserve">05</w:t>
            </w:r>
          </w:p>
        </w:tc>
        <w:tc>
          <w:tcPr/>
          <w:p>
            <w:pPr>
              <w:pStyle w:val="Compact"/>
              <w:jc w:val="left"/>
            </w:pPr>
            <w:r>
              <w:t xml:space="preserve">Systems Engineer — 12-Month Ongoing Support &amp; Maintenance (4 on-site visits/quarter)</w:t>
            </w:r>
          </w:p>
        </w:tc>
        <w:tc>
          <w:tcPr/>
          <w:p>
            <w:pPr>
              <w:pStyle w:val="Compact"/>
              <w:jc w:val="left"/>
            </w:pPr>
            <w:r>
              <w:t xml:space="preserve">12 months</w:t>
            </w:r>
          </w:p>
        </w:tc>
        <w:tc>
          <w:tcPr/>
          <w:p>
            <w:pPr>
              <w:pStyle w:val="Compact"/>
              <w:jc w:val="left"/>
            </w:pPr>
            <w:r>
              <w:t xml:space="preserve">18,000/mo</w:t>
            </w:r>
          </w:p>
        </w:tc>
        <w:tc>
          <w:tcPr/>
          <w:p>
            <w:pPr>
              <w:pStyle w:val="Compact"/>
              <w:jc w:val="left"/>
            </w:pPr>
            <w:r>
              <w:t xml:space="preserve">216,000</w:t>
            </w:r>
          </w:p>
        </w:tc>
      </w:tr>
      <w:tr>
        <w:tc>
          <w:tcPr/>
          <w:p>
            <w:pPr>
              <w:pStyle w:val="Compact"/>
              <w:jc w:val="left"/>
            </w:pPr>
            <w:r>
              <w:t xml:space="preserve">06</w:t>
            </w:r>
          </w:p>
        </w:tc>
        <w:tc>
          <w:tcPr/>
          <w:p>
            <w:pPr>
              <w:pStyle w:val="Compact"/>
              <w:jc w:val="left"/>
            </w:pPr>
            <w:r>
              <w:t xml:space="preserve">Travel &amp; Accommodation Allowance (Cairo ↔ Egypt Alexandria, as required)</w:t>
            </w:r>
          </w:p>
        </w:tc>
        <w:tc>
          <w:tcPr/>
          <w:p>
            <w:pPr>
              <w:pStyle w:val="Compact"/>
              <w:jc w:val="left"/>
            </w:pPr>
            <w:r>
              <w:t xml:space="preserve">Estimated 12 trips</w:t>
            </w:r>
          </w:p>
        </w:tc>
        <w:tc>
          <w:tcPr/>
          <w:p>
            <w:pPr>
              <w:pStyle w:val="Compact"/>
              <w:jc w:val="left"/>
            </w:pPr>
            <w:r>
              <w:t xml:space="preserve">3,500/trip</w:t>
            </w:r>
          </w:p>
        </w:tc>
        <w:tc>
          <w:tcPr/>
          <w:p>
            <w:pPr>
              <w:pStyle w:val="Compact"/>
              <w:jc w:val="left"/>
            </w:pPr>
            <w:r>
              <w:t xml:space="preserve">42,000</w:t>
            </w:r>
          </w:p>
        </w:tc>
      </w:tr>
      <w:tr>
        <w:tc>
          <w:tcPr/>
          <w:p>
            <w:pPr>
              <w:pStyle w:val="Compact"/>
              <w:jc w:val="left"/>
            </w:pPr>
            <w:r>
              <w:t xml:space="preserve">07</w:t>
            </w:r>
          </w:p>
        </w:tc>
        <w:tc>
          <w:tcPr/>
          <w:p>
            <w:pPr>
              <w:pStyle w:val="Compact"/>
              <w:jc w:val="left"/>
            </w:pPr>
            <w:r>
              <w:t xml:space="preserve">Software Licensing &amp; Third-Party Tool Costs (as per approved BOM)</w:t>
            </w:r>
          </w:p>
        </w:tc>
        <w:tc>
          <w:tcPr/>
          <w:p>
            <w:pPr>
              <w:pStyle w:val="Compact"/>
              <w:jc w:val="left"/>
            </w:pPr>
            <w:r>
              <w:t xml:space="preserve">One-time</w:t>
            </w:r>
          </w:p>
        </w:tc>
        <w:tc>
          <w:tcPr/>
          <w:p>
            <w:pPr>
              <w:pStyle w:val="Compact"/>
              <w:jc w:val="left"/>
            </w:pPr>
            <w:r>
              <w:t xml:space="preserve">—</w:t>
            </w:r>
          </w:p>
        </w:tc>
        <w:tc>
          <w:tcPr/>
          <w:p>
            <w:pPr>
              <w:pStyle w:val="Compact"/>
              <w:jc w:val="left"/>
            </w:pPr>
            <w:r>
              <w:t xml:space="preserve">85,000</w:t>
            </w:r>
          </w:p>
        </w:tc>
      </w:tr>
      <w:tr>
        <w:tc>
          <w:tcPr/>
          <w:p>
            <w:pPr>
              <w:pStyle w:val="Compact"/>
              <w:jc w:val="left"/>
            </w:pPr>
            <w:r>
              <w:t xml:space="preserve">08</w:t>
            </w:r>
          </w:p>
        </w:tc>
        <w:tc>
          <w:tcPr/>
          <w:p>
            <w:pPr>
              <w:pStyle w:val="Compact"/>
              <w:jc w:val="left"/>
            </w:pPr>
            <w:r>
              <w:t xml:space="preserve">Contingency &amp; Risk Buffer (8% of Items 01–07)</w:t>
            </w:r>
          </w:p>
        </w:tc>
        <w:tc>
          <w:tcPr/>
          <w:p>
            <w:pPr>
              <w:pStyle w:val="Compact"/>
              <w:jc w:val="left"/>
            </w:pPr>
            <w:r>
              <w:t xml:space="preserve">—</w:t>
            </w:r>
          </w:p>
        </w:tc>
        <w:tc>
          <w:tcPr/>
          <w:p>
            <w:pPr>
              <w:pStyle w:val="Compact"/>
              <w:jc w:val="left"/>
            </w:pPr>
            <w:r>
              <w:t xml:space="preserve">—</w:t>
            </w:r>
          </w:p>
        </w:tc>
        <w:tc>
          <w:tcPr/>
          <w:p>
            <w:pPr>
              <w:pStyle w:val="Compact"/>
              <w:jc w:val="left"/>
            </w:pPr>
            <w:r>
              <w:t xml:space="preserve">43,952</w:t>
            </w:r>
          </w:p>
        </w:tc>
      </w:tr>
      <w:tr>
        <w:tc>
          <w:tcPr>
            <w:gridSpan w:val="4"/>
          </w:tcPr>
          <w:p>
            <w:pPr>
              <w:pStyle w:val="Compact"/>
              <w:jc w:val="left"/>
            </w:pPr>
            <w:r>
              <w:t xml:space="preserve">Subtotal (EGP)</w:t>
            </w:r>
          </w:p>
        </w:tc>
        <w:tc>
          <w:tcPr/>
          <w:p>
            <w:pPr>
              <w:pStyle w:val="Compact"/>
              <w:jc w:val="left"/>
            </w:pPr>
            <w:r>
              <w:t xml:space="preserve">602,352</w:t>
            </w:r>
          </w:p>
        </w:tc>
      </w:tr>
      <w:tr>
        <w:tc>
          <w:tcPr>
            <w:gridSpan w:val="4"/>
          </w:tcPr>
          <w:p>
            <w:pPr>
              <w:pStyle w:val="Compact"/>
              <w:jc w:val="left"/>
            </w:pPr>
            <w:r>
              <w:t xml:space="preserve">VAT @ 14% (EGP)</w:t>
            </w:r>
          </w:p>
        </w:tc>
        <w:tc>
          <w:tcPr/>
          <w:p>
            <w:pPr>
              <w:pStyle w:val="Compact"/>
              <w:jc w:val="left"/>
            </w:pPr>
            <w:r>
              <w:t xml:space="preserve">84,329</w:t>
            </w:r>
          </w:p>
        </w:tc>
      </w:tr>
      <w:tr>
        <w:tc>
          <w:tcPr>
            <w:gridSpan w:val="4"/>
          </w:tcPr>
          <w:p>
            <w:pPr>
              <w:pStyle w:val="Compact"/>
              <w:jc w:val="left"/>
            </w:pPr>
            <w:r>
              <w:t xml:space="preserve">TOTAL QUOTATION ESTIMATE (EGP)</w:t>
            </w:r>
          </w:p>
        </w:tc>
        <w:tc>
          <w:tcPr/>
          <w:p>
            <w:pPr>
              <w:pStyle w:val="Compact"/>
              <w:jc w:val="left"/>
            </w:pPr>
            <w:r>
              <w:t xml:space="preserve">686,681</w:t>
            </w:r>
          </w:p>
        </w:tc>
      </w:tr>
      <w:tr>
        <w:tc>
          <w:tcPr>
            <w:gridSpan w:val="4"/>
          </w:tcPr>
          <w:p>
            <w:pPr>
              <w:pStyle w:val="Compact"/>
              <w:jc w:val="left"/>
            </w:pPr>
            <w:r>
              <w:t xml:space="preserve">TOTAL QUOTATION ESTIMATE (USD, approx. @ EGP 48.50/USD)</w:t>
            </w:r>
          </w:p>
        </w:tc>
        <w:tc>
          <w:tcPr/>
          <w:p>
            <w:pPr>
              <w:pStyle w:val="Compact"/>
              <w:jc w:val="left"/>
            </w:pPr>
            <w:r>
              <w:t xml:space="preserve">≈ 14,158</w:t>
            </w:r>
          </w:p>
        </w:tc>
      </w:tr>
    </w:tbl>
    <w:p>
      <w:pPr>
        <w:pStyle w:val="BodyText"/>
      </w:pPr>
      <w:r>
        <w:rPr>
          <w:bCs/>
          <w:b/>
        </w:rPr>
        <w:t xml:space="preserve">Note:</w:t>
      </w:r>
      <w:r>
        <w:t xml:space="preserve"> </w:t>
      </w:r>
      <w:r>
        <w:t xml:space="preserve">This Quotation Estimate assumes standard business hours (09:00–17:00 EET, Sunday–Thursday) for all on-site work in Egypt Alexandria. Any after-hours, weekend, or emergency call-out work will be billed at 1.5× the applicable Systems Engineer hourly rate and must be pre-approved in writing by the client's project manager.</w:t>
      </w:r>
    </w:p>
    <w:bookmarkEnd w:id="27"/>
    <w:bookmarkStart w:id="28" w:name="payment-terms"/>
    <w:p>
      <w:pPr>
        <w:pStyle w:val="Heading2"/>
      </w:pPr>
      <w:r>
        <w:t xml:space="preserve">4. Payment Terms</w:t>
      </w:r>
    </w:p>
    <w:p>
      <w:pPr>
        <w:pStyle w:val="FirstParagraph"/>
      </w:pPr>
      <w:r>
        <w:t xml:space="preserve">Payment against this Quotation Estimate shall be structured as follows:</w:t>
      </w:r>
    </w:p>
    <w:p>
      <w:pPr>
        <w:numPr>
          <w:ilvl w:val="0"/>
          <w:numId w:val="1001"/>
        </w:numPr>
        <w:pStyle w:val="Compact"/>
      </w:pPr>
      <w:r>
        <w:rPr>
          <w:bCs/>
          <w:b/>
        </w:rPr>
        <w:t xml:space="preserve">30%</w:t>
      </w:r>
      <w:r>
        <w:t xml:space="preserve"> </w:t>
      </w:r>
      <w:r>
        <w:t xml:space="preserve">advance payment upon signed acceptance of this Quotation Estimate (within 7 business days).</w:t>
      </w:r>
    </w:p>
    <w:p>
      <w:pPr>
        <w:numPr>
          <w:ilvl w:val="0"/>
          <w:numId w:val="1001"/>
        </w:numPr>
        <w:pStyle w:val="Compact"/>
      </w:pPr>
      <w:r>
        <w:rPr>
          <w:bCs/>
          <w:b/>
        </w:rPr>
        <w:t xml:space="preserve">40%</w:t>
      </w:r>
      <w:r>
        <w:t xml:space="preserve"> </w:t>
      </w:r>
      <w:r>
        <w:t xml:space="preserve">upon completion of deployment and successful handover of the Systems Engineer deliverables in Egypt Alexandria.</w:t>
      </w:r>
    </w:p>
    <w:p>
      <w:pPr>
        <w:numPr>
          <w:ilvl w:val="0"/>
          <w:numId w:val="1001"/>
        </w:numPr>
        <w:pStyle w:val="Compact"/>
      </w:pPr>
      <w:r>
        <w:rPr>
          <w:bCs/>
          <w:b/>
        </w:rPr>
        <w:t xml:space="preserve">30%</w:t>
      </w:r>
      <w:r>
        <w:t xml:space="preserve"> </w:t>
      </w:r>
      <w:r>
        <w:t xml:space="preserve">in four equal quarterly installments during the 12-month support period.</w:t>
      </w:r>
    </w:p>
    <w:p>
      <w:pPr>
        <w:pStyle w:val="FirstParagraph"/>
      </w:pPr>
      <w:r>
        <w:t xml:space="preserve">All payments are to be made via bank transfer to the account details provided on the accompanying invoice. Late payments shall accrue interest at 1.5% per month in accordance with Egyptian commercial law.</w:t>
      </w:r>
    </w:p>
    <w:bookmarkEnd w:id="28"/>
    <w:bookmarkStart w:id="29" w:name="terms-conditions"/>
    <w:p>
      <w:pPr>
        <w:pStyle w:val="Heading2"/>
      </w:pPr>
      <w:r>
        <w:t xml:space="preserve">5. Terms &amp; Conditions</w:t>
      </w:r>
    </w:p>
    <w:p>
      <w:pPr>
        <w:numPr>
          <w:ilvl w:val="0"/>
          <w:numId w:val="1002"/>
        </w:numPr>
        <w:pStyle w:val="Compact"/>
      </w:pPr>
      <w:r>
        <w:t xml:space="preserve">This Quotation Estimate is valid for thirty (30) calendar days from the date of issue. After expiry, all rates for the Systems Engineer engagement in Egypt Alexandria are subject to re-evaluation.</w:t>
      </w:r>
    </w:p>
    <w:p>
      <w:pPr>
        <w:numPr>
          <w:ilvl w:val="0"/>
          <w:numId w:val="1002"/>
        </w:numPr>
        <w:pStyle w:val="Compact"/>
      </w:pPr>
      <w:r>
        <w:t xml:space="preserve">The Systems Engineer shall maintain full professional confidentiality regarding all client data, network credentials, and proprietary information encountered during the engagement in Egypt Alexandria.</w:t>
      </w:r>
    </w:p>
    <w:p>
      <w:pPr>
        <w:numPr>
          <w:ilvl w:val="0"/>
          <w:numId w:val="1002"/>
        </w:numPr>
        <w:pStyle w:val="Compact"/>
      </w:pPr>
      <w:r>
        <w:t xml:space="preserve">Any scope changes exceeding 10% of the original Quotation Estimate value require a formal Change Order signed by both parties before additional work commences.</w:t>
      </w:r>
    </w:p>
    <w:p>
      <w:pPr>
        <w:numPr>
          <w:ilvl w:val="0"/>
          <w:numId w:val="1002"/>
        </w:numPr>
        <w:pStyle w:val="Compact"/>
      </w:pPr>
      <w:r>
        <w:t xml:space="preserve">The Systems Engineer is engaged as an independent contractor and is not an employee of the client. All applicable Egyptian labor and social insurance obligations remain the responsibility of the service provider.</w:t>
      </w:r>
    </w:p>
    <w:p>
      <w:pPr>
        <w:numPr>
          <w:ilvl w:val="0"/>
          <w:numId w:val="1002"/>
        </w:numPr>
        <w:pStyle w:val="Compact"/>
      </w:pPr>
      <w:r>
        <w:t xml:space="preserve">Warranty on all deployed hardware and software configurations provided by the Systems Engineer is valid for twelve (12) months from the date of final acceptance in Egypt Alexandria.</w:t>
      </w:r>
    </w:p>
    <w:p>
      <w:pPr>
        <w:numPr>
          <w:ilvl w:val="0"/>
          <w:numId w:val="1002"/>
        </w:numPr>
        <w:pStyle w:val="Compact"/>
      </w:pPr>
      <w:r>
        <w:t xml:space="preserve">Disputes arising from this Quotation Estimate shall be resolved through amicable negotiation, failing which they shall be referred to arbitration under the rules of the Egyptian Arbitration Center in Alexandria.</w:t>
      </w:r>
    </w:p>
    <w:p>
      <w:pPr>
        <w:numPr>
          <w:ilvl w:val="0"/>
          <w:numId w:val="1002"/>
        </w:numPr>
        <w:pStyle w:val="Compact"/>
      </w:pPr>
      <w:r>
        <w:t xml:space="preserve">This Quotation Estimate does not constitute a binding contract until countersigned by both parties and accompanied by the executed Statement of Work.</w:t>
      </w:r>
    </w:p>
    <w:bookmarkEnd w:id="29"/>
    <w:bookmarkStart w:id="30" w:name="acceptance-authorization"/>
    <w:p>
      <w:pPr>
        <w:pStyle w:val="Heading2"/>
      </w:pPr>
      <w:r>
        <w:t xml:space="preserve">6. Acceptance &amp; Authorization</w:t>
      </w:r>
    </w:p>
    <w:p>
      <w:pPr>
        <w:pStyle w:val="FirstParagraph"/>
      </w:pPr>
      <w:r>
        <w:t xml:space="preserve">By signing below, the client acknowledges receipt of this Quotation Estimate for Systems Engineer services in Egypt Alexandria and agrees to the pricing, scope, and terms outlined herein. The service provider confirms availability to commence work within ten (10) business days of receiving the advance payment.</w:t>
      </w:r>
    </w:p>
    <w:p>
      <w:pPr>
        <w:pStyle w:val="BodyText"/>
      </w:pPr>
      <w:r>
        <w:rPr>
          <w:bCs/>
          <w:b/>
        </w:rPr>
        <w:t xml:space="preserve">For the Service Provider</w:t>
      </w:r>
      <w:r>
        <w:br/>
      </w:r>
      <w:r>
        <w:t xml:space="preserve">Dr. Mahmoud El-Sayed</w:t>
      </w:r>
      <w:r>
        <w:br/>
      </w:r>
      <w:r>
        <w:t xml:space="preserve">Lead Systems Engineer</w:t>
      </w:r>
      <w:r>
        <w:br/>
      </w:r>
      <w:r>
        <w:t xml:space="preserve">Date: _______________</w:t>
      </w:r>
    </w:p>
    <w:p>
      <w:pPr>
        <w:pStyle w:val="BodyText"/>
      </w:pPr>
      <w:r>
        <w:rPr>
          <w:bCs/>
          <w:b/>
        </w:rPr>
        <w:t xml:space="preserve">For the Client</w:t>
      </w:r>
      <w:r>
        <w:br/>
      </w:r>
      <w:r>
        <w:t xml:space="preserve">Authorized Signatory</w:t>
      </w:r>
      <w:r>
        <w:br/>
      </w:r>
      <w:r>
        <w:t xml:space="preserve">Organization: _______________</w:t>
      </w:r>
      <w:r>
        <w:br/>
      </w:r>
      <w:r>
        <w:t xml:space="preserve">Date: _______________</w:t>
      </w:r>
    </w:p>
    <w:p>
      <w:pPr>
        <w:pStyle w:val="BodyText"/>
      </w:pPr>
      <w:r>
        <w:t xml:space="preserve">Quotation Estimate QE-SEA-2025-0472 — Systems Engineer Services — Egypt Alexandria</w:t>
      </w:r>
      <w:r>
        <w:br/>
      </w:r>
      <w:r>
        <w:t xml:space="preserve">This document is the property of the issuing firm. Unauthorized reproduction or distribution is prohibited.</w:t>
      </w:r>
      <w:r>
        <w:br/>
      </w:r>
      <w:r>
        <w:t xml:space="preserve">© 2025 All Rights Reserved.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Systems Engineer - Egypt Alexandria</dc:title>
  <dc:creator/>
  <dc:language>en</dc:language>
  <cp:keywords/>
  <dcterms:created xsi:type="dcterms:W3CDTF">2026-10-10T03:01:46Z</dcterms:created>
  <dcterms:modified xsi:type="dcterms:W3CDTF">2026-10-10T03:01:46Z</dcterms:modified>
</cp:coreProperties>
</file>

<file path=docProps/custom.xml><?xml version="1.0" encoding="utf-8"?>
<Properties xmlns="http://schemas.openxmlformats.org/officeDocument/2006/custom-properties" xmlns:vt="http://schemas.openxmlformats.org/officeDocument/2006/docPropsVTypes"/>
</file>