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Egypt</w:t>
      </w:r>
      <w:r>
        <w:t xml:space="preserve"> </w:t>
      </w:r>
      <w:r>
        <w:t xml:space="preserve">Cairo</w:t>
      </w:r>
    </w:p>
    <w:bookmarkStart w:id="20" w:name="quotation-estimate"/>
    <w:p>
      <w:pPr>
        <w:pStyle w:val="Heading1"/>
      </w:pPr>
      <w:r>
        <w:t xml:space="preserve">QUOTATION ESTIMATE</w:t>
      </w:r>
    </w:p>
    <w:p>
      <w:pPr>
        <w:pStyle w:val="FirstParagraph"/>
      </w:pPr>
      <w:r>
        <w:t xml:space="preserve">Professional Services for Systems Engineer Engagement in Egypt Cairo</w:t>
      </w:r>
    </w:p>
    <w:p>
      <w:pPr>
        <w:pStyle w:val="BodyText"/>
      </w:pPr>
      <w:r>
        <w:t xml:space="preserve">Document Reference: QE-SE-EGY-2025-0047 | Validity: 30 Days from Issue Date</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QE-SE-EGY-2025-0047</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Prepared By</w:t>
            </w:r>
          </w:p>
        </w:tc>
        <w:tc>
          <w:tcPr/>
          <w:p>
            <w:pPr>
              <w:pStyle w:val="Compact"/>
              <w:jc w:val="left"/>
            </w:pPr>
            <w:r>
              <w:t xml:space="preserve">NileTech Solutions &amp; Consulting, 12 Tahrir Square, Downtown, Egypt Cairo</w:t>
            </w:r>
          </w:p>
        </w:tc>
      </w:tr>
      <w:tr>
        <w:tc>
          <w:tcPr/>
          <w:p>
            <w:pPr>
              <w:pStyle w:val="Compact"/>
              <w:jc w:val="left"/>
            </w:pPr>
            <w:r>
              <w:t xml:space="preserve">Prepared For</w:t>
            </w:r>
          </w:p>
        </w:tc>
        <w:tc>
          <w:tcPr/>
          <w:p>
            <w:pPr>
              <w:pStyle w:val="Compact"/>
              <w:jc w:val="left"/>
            </w:pPr>
            <w:r>
              <w:t xml:space="preserve">[Client Name / Organization], Egypt Cairo</w:t>
            </w:r>
          </w:p>
        </w:tc>
      </w:tr>
      <w:tr>
        <w:tc>
          <w:tcPr/>
          <w:p>
            <w:pPr>
              <w:pStyle w:val="Compact"/>
              <w:jc w:val="left"/>
            </w:pPr>
            <w:r>
              <w:t xml:space="preserve">Service Category</w:t>
            </w:r>
          </w:p>
        </w:tc>
        <w:tc>
          <w:tcPr/>
          <w:p>
            <w:pPr>
              <w:pStyle w:val="Compact"/>
              <w:jc w:val="left"/>
            </w:pPr>
            <w:r>
              <w:t xml:space="preserve">Systems Engineer – Full-Spectrum IT Infrastructure &amp; Architecture</w:t>
            </w:r>
          </w:p>
        </w:tc>
      </w:tr>
      <w:tr>
        <w:tc>
          <w:tcPr/>
          <w:p>
            <w:pPr>
              <w:pStyle w:val="Compact"/>
              <w:jc w:val="left"/>
            </w:pPr>
            <w:r>
              <w:t xml:space="preserve">Project Location</w:t>
            </w:r>
          </w:p>
        </w:tc>
        <w:tc>
          <w:tcPr/>
          <w:p>
            <w:pPr>
              <w:pStyle w:val="Compact"/>
              <w:jc w:val="left"/>
            </w:pPr>
            <w:r>
              <w:t xml:space="preserve">Egypt Cairo, Greater Cairo Governorate, Arab Republic of Egypt</w:t>
            </w:r>
          </w:p>
        </w:tc>
      </w:tr>
      <w:tr>
        <w:tc>
          <w:tcPr/>
          <w:p>
            <w:pPr>
              <w:pStyle w:val="Compact"/>
              <w:jc w:val="left"/>
            </w:pPr>
            <w:r>
              <w:t xml:space="preserve">Estimated Duration</w:t>
            </w:r>
          </w:p>
        </w:tc>
        <w:tc>
          <w:tcPr/>
          <w:p>
            <w:pPr>
              <w:pStyle w:val="Compact"/>
              <w:jc w:val="left"/>
            </w:pPr>
            <w:r>
              <w:t xml:space="preserve">12 Months (with optional 6-month extension)</w:t>
            </w:r>
          </w:p>
        </w:tc>
      </w:tr>
    </w:tbl>
    <w:bookmarkStart w:id="21" w:name="executive-summary"/>
    <w:p>
      <w:pPr>
        <w:pStyle w:val="Heading2"/>
      </w:pPr>
      <w:r>
        <w:t xml:space="preserve">1. Executive Summary</w:t>
      </w:r>
    </w:p>
    <w:p>
      <w:pPr>
        <w:pStyle w:val="FirstParagraph"/>
      </w:pPr>
      <w:r>
        <w:t xml:space="preserve">This Quotation Estimate is formally issued by NileTech Solutions &amp; Consulting to provide a comprehensive, itemized cost breakdown for the engagement of a senior Systems Engineer to support the client's IT infrastructure, architecture design, and operational continuity within Egypt Cairo. This Quotation Estimate reflects current market rates for qualified Systems Engineer professionals operating in the Egypt Cairo technology sector, taking into account local labor market conditions, regulatory requirements, and the specialized skill set demanded by modern enterprise environments in the region.</w:t>
      </w:r>
    </w:p>
    <w:bookmarkEnd w:id="21"/>
    <w:bookmarkStart w:id="22" w:name="Xe1b03dc777e11829f89fbcc695e4ffe445504d2"/>
    <w:p>
      <w:pPr>
        <w:pStyle w:val="Heading2"/>
      </w:pPr>
      <w:r>
        <w:t xml:space="preserve">2. Scope of Work – Systems Engineer Responsibilities</w:t>
      </w:r>
    </w:p>
    <w:p>
      <w:pPr>
        <w:pStyle w:val="FirstParagraph"/>
      </w:pPr>
      <w:r>
        <w:t xml:space="preserve">The Systems Engineer engaged under this Quotation Estimate will be responsible for the following core deliverables and ongoing operational duties within the Egypt Cairo office and associated remote sites:</w:t>
      </w:r>
    </w:p>
    <w:p>
      <w:pPr>
        <w:numPr>
          <w:ilvl w:val="0"/>
          <w:numId w:val="1001"/>
        </w:numPr>
        <w:pStyle w:val="Compact"/>
      </w:pPr>
      <w:r>
        <w:rPr>
          <w:bCs/>
          <w:b/>
        </w:rPr>
        <w:t xml:space="preserve">Infrastructure Design &amp; Deployment:</w:t>
      </w:r>
      <w:r>
        <w:t xml:space="preserve"> </w:t>
      </w:r>
      <w:r>
        <w:t xml:space="preserve">Architecting, configuring, and deploying server environments (Windows Server, Linux/Red Hat), virtualization platforms (VMware vSphere, Hyper-V), and cloud-hybrid solutions tailored to the client's operational needs in Egypt Cairo.</w:t>
      </w:r>
    </w:p>
    <w:p>
      <w:pPr>
        <w:numPr>
          <w:ilvl w:val="0"/>
          <w:numId w:val="1001"/>
        </w:numPr>
        <w:pStyle w:val="Compact"/>
      </w:pPr>
      <w:r>
        <w:rPr>
          <w:bCs/>
          <w:b/>
        </w:rPr>
        <w:t xml:space="preserve">Network Architecture:</w:t>
      </w:r>
      <w:r>
        <w:t xml:space="preserve"> </w:t>
      </w:r>
      <w:r>
        <w:t xml:space="preserve">Designing and managing LAN/WAN topologies, firewalls, load balancers, and SD-WAN solutions to ensure seamless connectivity across all Egypt Cairo facilities.</w:t>
      </w:r>
    </w:p>
    <w:p>
      <w:pPr>
        <w:numPr>
          <w:ilvl w:val="0"/>
          <w:numId w:val="1001"/>
        </w:numPr>
        <w:pStyle w:val="Compact"/>
      </w:pPr>
      <w:r>
        <w:rPr>
          <w:bCs/>
          <w:b/>
        </w:rPr>
        <w:t xml:space="preserve">System Administration &amp; Maintenance:</w:t>
      </w:r>
      <w:r>
        <w:t xml:space="preserve"> </w:t>
      </w:r>
      <w:r>
        <w:t xml:space="preserve">Performing proactive monitoring, patch management, performance tuning, and disaster recovery planning for all critical systems.</w:t>
      </w:r>
    </w:p>
    <w:p>
      <w:pPr>
        <w:numPr>
          <w:ilvl w:val="0"/>
          <w:numId w:val="1001"/>
        </w:numPr>
        <w:pStyle w:val="Compact"/>
      </w:pPr>
      <w:r>
        <w:rPr>
          <w:bCs/>
          <w:b/>
        </w:rPr>
        <w:t xml:space="preserve">Security Compliance:</w:t>
      </w:r>
      <w:r>
        <w:t xml:space="preserve"> </w:t>
      </w:r>
      <w:r>
        <w:t xml:space="preserve">Implementing and maintaining security protocols in alignment with Egyptian data protection regulations and international standards (ISO 27001, NIST).</w:t>
      </w:r>
    </w:p>
    <w:p>
      <w:pPr>
        <w:numPr>
          <w:ilvl w:val="0"/>
          <w:numId w:val="1001"/>
        </w:numPr>
        <w:pStyle w:val="Compact"/>
      </w:pPr>
      <w:r>
        <w:rPr>
          <w:bCs/>
          <w:b/>
        </w:rPr>
        <w:t xml:space="preserve">Documentation &amp; Reporting:</w:t>
      </w:r>
      <w:r>
        <w:t xml:space="preserve"> </w:t>
      </w:r>
      <w:r>
        <w:t xml:space="preserve">Producing detailed technical documentation, capacity planning reports, and monthly performance summaries for executive review.</w:t>
      </w:r>
    </w:p>
    <w:p>
      <w:pPr>
        <w:numPr>
          <w:ilvl w:val="0"/>
          <w:numId w:val="1001"/>
        </w:numPr>
        <w:pStyle w:val="Compact"/>
      </w:pPr>
      <w:r>
        <w:rPr>
          <w:bCs/>
          <w:b/>
        </w:rPr>
        <w:t xml:space="preserve">Vendor &amp; Stakeholder Coordination:</w:t>
      </w:r>
      <w:r>
        <w:t xml:space="preserve"> </w:t>
      </w:r>
      <w:r>
        <w:t xml:space="preserve">Liaising with hardware vendors, cloud providers, and internal stakeholders across the Egypt Cairo business units.</w:t>
      </w:r>
    </w:p>
    <w:bookmarkEnd w:id="22"/>
    <w:bookmarkStart w:id="23" w:name="quotation-estimate-itemized-pricing"/>
    <w:p>
      <w:pPr>
        <w:pStyle w:val="Heading2"/>
      </w:pPr>
      <w:r>
        <w:t xml:space="preserve">3. Quotation Estimate – Itemized Pricing</w:t>
      </w:r>
    </w:p>
    <w:p>
      <w:pPr>
        <w:pStyle w:val="FirstParagraph"/>
      </w:pPr>
      <w:r>
        <w:t xml:space="preserve">The following Quotation Estimate presents a transparent, line-by-line cost structure. All monetary values are denominated in Egyptian Pounds (EGP) unless otherwise stated. Rates are calibrated to the prevailing Systems Engineer compensation benchmarks in Egypt Cairo as of Q2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(EGP)</w:t>
            </w:r>
          </w:p>
        </w:tc>
        <w:tc>
          <w:tcPr/>
          <w:p>
            <w:pPr>
              <w:pStyle w:val="Compact"/>
              <w:jc w:val="left"/>
            </w:pPr>
            <w:r>
              <w:t xml:space="preserve">Quantity</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Senior Systems Engineer – Monthly Professional Fee (includes salary, social insurance, and statutory benefits per Egyptian labor law)</w:t>
            </w:r>
          </w:p>
        </w:tc>
        <w:tc>
          <w:tcPr/>
          <w:p>
            <w:pPr>
              <w:pStyle w:val="Compact"/>
              <w:jc w:val="left"/>
            </w:pPr>
            <w:r>
              <w:t xml:space="preserve">Month</w:t>
            </w:r>
          </w:p>
        </w:tc>
        <w:tc>
          <w:tcPr/>
          <w:p>
            <w:pPr>
              <w:pStyle w:val="Compact"/>
              <w:jc w:val="left"/>
            </w:pPr>
            <w:r>
              <w:t xml:space="preserve">45,000</w:t>
            </w:r>
          </w:p>
        </w:tc>
        <w:tc>
          <w:tcPr/>
          <w:p>
            <w:pPr>
              <w:pStyle w:val="Compact"/>
              <w:jc w:val="left"/>
            </w:pPr>
            <w:r>
              <w:t xml:space="preserve">12</w:t>
            </w:r>
          </w:p>
        </w:tc>
        <w:tc>
          <w:tcPr/>
          <w:p>
            <w:pPr>
              <w:pStyle w:val="Compact"/>
              <w:jc w:val="left"/>
            </w:pPr>
            <w:r>
              <w:t xml:space="preserve">540,000</w:t>
            </w:r>
          </w:p>
        </w:tc>
      </w:tr>
      <w:tr>
        <w:tc>
          <w:tcPr/>
          <w:p>
            <w:pPr>
              <w:pStyle w:val="Compact"/>
              <w:jc w:val="left"/>
            </w:pPr>
            <w:r>
              <w:t xml:space="preserve">2</w:t>
            </w:r>
          </w:p>
        </w:tc>
        <w:tc>
          <w:tcPr/>
          <w:p>
            <w:pPr>
              <w:pStyle w:val="Compact"/>
              <w:jc w:val="left"/>
            </w:pPr>
            <w:r>
              <w:t xml:space="preserve">Systems Engineer – On-Site Supervision &amp; Technical Direction (Egypt Cairo HQ, 5 days/week)</w:t>
            </w:r>
          </w:p>
        </w:tc>
        <w:tc>
          <w:tcPr/>
          <w:p>
            <w:pPr>
              <w:pStyle w:val="Compact"/>
              <w:jc w:val="left"/>
            </w:pPr>
            <w:r>
              <w:t xml:space="preserve">Month</w:t>
            </w:r>
          </w:p>
        </w:tc>
        <w:tc>
          <w:tcPr/>
          <w:p>
            <w:pPr>
              <w:pStyle w:val="Compact"/>
              <w:jc w:val="left"/>
            </w:pPr>
            <w:r>
              <w:t xml:space="preserve">12,000</w:t>
            </w:r>
          </w:p>
        </w:tc>
        <w:tc>
          <w:tcPr/>
          <w:p>
            <w:pPr>
              <w:pStyle w:val="Compact"/>
              <w:jc w:val="left"/>
            </w:pPr>
            <w:r>
              <w:t xml:space="preserve">12</w:t>
            </w:r>
          </w:p>
        </w:tc>
        <w:tc>
          <w:tcPr/>
          <w:p>
            <w:pPr>
              <w:pStyle w:val="Compact"/>
              <w:jc w:val="left"/>
            </w:pPr>
            <w:r>
              <w:t xml:space="preserve">144,000</w:t>
            </w:r>
          </w:p>
        </w:tc>
      </w:tr>
      <w:tr>
        <w:tc>
          <w:tcPr/>
          <w:p>
            <w:pPr>
              <w:pStyle w:val="Compact"/>
              <w:jc w:val="left"/>
            </w:pPr>
            <w:r>
              <w:t xml:space="preserve">3</w:t>
            </w:r>
          </w:p>
        </w:tc>
        <w:tc>
          <w:tcPr/>
          <w:p>
            <w:pPr>
              <w:pStyle w:val="Compact"/>
              <w:jc w:val="left"/>
            </w:pPr>
            <w:r>
              <w:t xml:space="preserve">Infrastructure Audit &amp; Gap Analysis (one-time, Egypt Cairo premises)</w:t>
            </w:r>
          </w:p>
        </w:tc>
        <w:tc>
          <w:tcPr/>
          <w:p>
            <w:pPr>
              <w:pStyle w:val="Compact"/>
              <w:jc w:val="left"/>
            </w:pPr>
            <w:r>
              <w:t xml:space="preserve">Lump Sum</w:t>
            </w:r>
          </w:p>
        </w:tc>
        <w:tc>
          <w:tcPr/>
          <w:p>
            <w:pPr>
              <w:pStyle w:val="Compact"/>
              <w:jc w:val="left"/>
            </w:pPr>
            <w:r>
              <w:t xml:space="preserve">35,000</w:t>
            </w:r>
          </w:p>
        </w:tc>
        <w:tc>
          <w:tcPr/>
          <w:p>
            <w:pPr>
              <w:pStyle w:val="Compact"/>
              <w:jc w:val="left"/>
            </w:pPr>
            <w:r>
              <w:t xml:space="preserve">1</w:t>
            </w:r>
          </w:p>
        </w:tc>
        <w:tc>
          <w:tcPr/>
          <w:p>
            <w:pPr>
              <w:pStyle w:val="Compact"/>
              <w:jc w:val="left"/>
            </w:pPr>
            <w:r>
              <w:t xml:space="preserve">35,000</w:t>
            </w:r>
          </w:p>
        </w:tc>
      </w:tr>
      <w:tr>
        <w:tc>
          <w:tcPr/>
          <w:p>
            <w:pPr>
              <w:pStyle w:val="Compact"/>
              <w:jc w:val="left"/>
            </w:pPr>
            <w:r>
              <w:t xml:space="preserve">4</w:t>
            </w:r>
          </w:p>
        </w:tc>
        <w:tc>
          <w:tcPr/>
          <w:p>
            <w:pPr>
              <w:pStyle w:val="Compact"/>
              <w:jc w:val="left"/>
            </w:pPr>
            <w:r>
              <w:t xml:space="preserve">Disaster Recovery &amp; Business Continuity Plan Development</w:t>
            </w:r>
          </w:p>
        </w:tc>
        <w:tc>
          <w:tcPr/>
          <w:p>
            <w:pPr>
              <w:pStyle w:val="Compact"/>
              <w:jc w:val="left"/>
            </w:pPr>
            <w:r>
              <w:t xml:space="preserve">Lump Sum</w:t>
            </w:r>
          </w:p>
        </w:tc>
        <w:tc>
          <w:tcPr/>
          <w:p>
            <w:pPr>
              <w:pStyle w:val="Compact"/>
              <w:jc w:val="left"/>
            </w:pPr>
            <w:r>
              <w:t xml:space="preserve">28,000</w:t>
            </w:r>
          </w:p>
        </w:tc>
        <w:tc>
          <w:tcPr/>
          <w:p>
            <w:pPr>
              <w:pStyle w:val="Compact"/>
              <w:jc w:val="left"/>
            </w:pPr>
            <w:r>
              <w:t xml:space="preserve">1</w:t>
            </w:r>
          </w:p>
        </w:tc>
        <w:tc>
          <w:tcPr/>
          <w:p>
            <w:pPr>
              <w:pStyle w:val="Compact"/>
              <w:jc w:val="left"/>
            </w:pPr>
            <w:r>
              <w:t xml:space="preserve">28,000</w:t>
            </w:r>
          </w:p>
        </w:tc>
      </w:tr>
      <w:tr>
        <w:tc>
          <w:tcPr/>
          <w:p>
            <w:pPr>
              <w:pStyle w:val="Compact"/>
              <w:jc w:val="left"/>
            </w:pPr>
            <w:r>
              <w:t xml:space="preserve">5</w:t>
            </w:r>
          </w:p>
        </w:tc>
        <w:tc>
          <w:tcPr/>
          <w:p>
            <w:pPr>
              <w:pStyle w:val="Compact"/>
              <w:jc w:val="left"/>
            </w:pPr>
            <w:r>
              <w:t xml:space="preserve">Security Hardening &amp; Compliance Assessment (Egypt Cairo regulatory framework)</w:t>
            </w:r>
          </w:p>
        </w:tc>
        <w:tc>
          <w:tcPr/>
          <w:p>
            <w:pPr>
              <w:pStyle w:val="Compact"/>
              <w:jc w:val="left"/>
            </w:pPr>
            <w:r>
              <w:t xml:space="preserve">Lump Sum</w:t>
            </w:r>
          </w:p>
        </w:tc>
        <w:tc>
          <w:tcPr/>
          <w:p>
            <w:pPr>
              <w:pStyle w:val="Compact"/>
              <w:jc w:val="left"/>
            </w:pPr>
            <w:r>
              <w:t xml:space="preserve">22,000</w:t>
            </w:r>
          </w:p>
        </w:tc>
        <w:tc>
          <w:tcPr/>
          <w:p>
            <w:pPr>
              <w:pStyle w:val="Compact"/>
              <w:jc w:val="left"/>
            </w:pPr>
            <w:r>
              <w:t xml:space="preserve">1</w:t>
            </w:r>
          </w:p>
        </w:tc>
        <w:tc>
          <w:tcPr/>
          <w:p>
            <w:pPr>
              <w:pStyle w:val="Compact"/>
              <w:jc w:val="left"/>
            </w:pPr>
            <w:r>
              <w:t xml:space="preserve">22,000</w:t>
            </w:r>
          </w:p>
        </w:tc>
      </w:tr>
      <w:tr>
        <w:tc>
          <w:tcPr/>
          <w:p>
            <w:pPr>
              <w:pStyle w:val="Compact"/>
              <w:jc w:val="left"/>
            </w:pPr>
            <w:r>
              <w:t xml:space="preserve">6</w:t>
            </w:r>
          </w:p>
        </w:tc>
        <w:tc>
          <w:tcPr/>
          <w:p>
            <w:pPr>
              <w:pStyle w:val="Compact"/>
              <w:jc w:val="left"/>
            </w:pPr>
            <w:r>
              <w:t xml:space="preserve">Training &amp; Knowledge Transfer Sessions (for in-house Egypt Cairo IT staff)</w:t>
            </w:r>
          </w:p>
        </w:tc>
        <w:tc>
          <w:tcPr/>
          <w:p>
            <w:pPr>
              <w:pStyle w:val="Compact"/>
              <w:jc w:val="left"/>
            </w:pPr>
            <w:r>
              <w:t xml:space="preserve">Session (4 hrs)</w:t>
            </w:r>
          </w:p>
        </w:tc>
        <w:tc>
          <w:tcPr/>
          <w:p>
            <w:pPr>
              <w:pStyle w:val="Compact"/>
              <w:jc w:val="left"/>
            </w:pPr>
            <w:r>
              <w:t xml:space="preserve">3,500</w:t>
            </w:r>
          </w:p>
        </w:tc>
        <w:tc>
          <w:tcPr/>
          <w:p>
            <w:pPr>
              <w:pStyle w:val="Compact"/>
              <w:jc w:val="left"/>
            </w:pPr>
            <w:r>
              <w:t xml:space="preserve">12</w:t>
            </w:r>
          </w:p>
        </w:tc>
        <w:tc>
          <w:tcPr/>
          <w:p>
            <w:pPr>
              <w:pStyle w:val="Compact"/>
              <w:jc w:val="left"/>
            </w:pPr>
            <w:r>
              <w:t xml:space="preserve">42,000</w:t>
            </w:r>
          </w:p>
        </w:tc>
      </w:tr>
      <w:tr>
        <w:tc>
          <w:tcPr/>
          <w:p>
            <w:pPr>
              <w:pStyle w:val="Compact"/>
              <w:jc w:val="left"/>
            </w:pPr>
            <w:r>
              <w:t xml:space="preserve">7</w:t>
            </w:r>
          </w:p>
        </w:tc>
        <w:tc>
          <w:tcPr/>
          <w:p>
            <w:pPr>
              <w:pStyle w:val="Compact"/>
              <w:jc w:val="left"/>
            </w:pPr>
            <w:r>
              <w:t xml:space="preserve">Travel &amp; Local Transportation within Egypt Cairo (monthly allowance)</w:t>
            </w:r>
          </w:p>
        </w:tc>
        <w:tc>
          <w:tcPr/>
          <w:p>
            <w:pPr>
              <w:pStyle w:val="Compact"/>
              <w:jc w:val="left"/>
            </w:pPr>
            <w:r>
              <w:t xml:space="preserve">Month</w:t>
            </w:r>
          </w:p>
        </w:tc>
        <w:tc>
          <w:tcPr/>
          <w:p>
            <w:pPr>
              <w:pStyle w:val="Compact"/>
              <w:jc w:val="left"/>
            </w:pPr>
            <w:r>
              <w:t xml:space="preserve">2,500</w:t>
            </w:r>
          </w:p>
        </w:tc>
        <w:tc>
          <w:tcPr/>
          <w:p>
            <w:pPr>
              <w:pStyle w:val="Compact"/>
              <w:jc w:val="left"/>
            </w:pPr>
            <w:r>
              <w:t xml:space="preserve">12</w:t>
            </w:r>
          </w:p>
        </w:tc>
        <w:tc>
          <w:tcPr/>
          <w:p>
            <w:pPr>
              <w:pStyle w:val="Compact"/>
              <w:jc w:val="left"/>
            </w:pPr>
            <w:r>
              <w:t xml:space="preserve">30,000</w:t>
            </w:r>
          </w:p>
        </w:tc>
      </w:tr>
      <w:tr>
        <w:tc>
          <w:tcPr/>
          <w:p>
            <w:pPr>
              <w:pStyle w:val="Compact"/>
              <w:jc w:val="left"/>
            </w:pPr>
            <w:r>
              <w:t xml:space="preserve">8</w:t>
            </w:r>
          </w:p>
        </w:tc>
        <w:tc>
          <w:tcPr/>
          <w:p>
            <w:pPr>
              <w:pStyle w:val="Compact"/>
              <w:jc w:val="left"/>
            </w:pPr>
            <w:r>
              <w:t xml:space="preserve">Project Management &amp; Administrative Overhead (10%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84,500</w:t>
            </w:r>
          </w:p>
        </w:tc>
      </w:tr>
      <w:tr>
        <w:tc>
          <w:tcPr>
            <w:gridSpan w:val="5"/>
          </w:tcPr>
          <w:p>
            <w:pPr>
              <w:pStyle w:val="Compact"/>
              <w:jc w:val="left"/>
            </w:pPr>
            <w:r>
              <w:t xml:space="preserve">TOTAL QUOTATION ESTIMATE (EGP)</w:t>
            </w:r>
          </w:p>
        </w:tc>
        <w:tc>
          <w:tcPr/>
          <w:p>
            <w:pPr>
              <w:pStyle w:val="Compact"/>
              <w:jc w:val="left"/>
            </w:pPr>
            <w:r>
              <w:t xml:space="preserve">945,500</w:t>
            </w:r>
          </w:p>
        </w:tc>
      </w:tr>
      <w:tr>
        <w:tc>
          <w:tcPr>
            <w:gridSpan w:val="5"/>
          </w:tcPr>
          <w:p>
            <w:pPr>
              <w:pStyle w:val="Compact"/>
              <w:jc w:val="left"/>
            </w:pPr>
            <w:r>
              <w:t xml:space="preserve">VAT (14% – Egyptian Value Added Tax)</w:t>
            </w:r>
          </w:p>
        </w:tc>
        <w:tc>
          <w:tcPr/>
          <w:p>
            <w:pPr>
              <w:pStyle w:val="Compact"/>
              <w:jc w:val="left"/>
            </w:pPr>
            <w:r>
              <w:t xml:space="preserve">132,370</w:t>
            </w:r>
          </w:p>
        </w:tc>
      </w:tr>
      <w:tr>
        <w:tc>
          <w:tcPr>
            <w:gridSpan w:val="5"/>
          </w:tcPr>
          <w:p>
            <w:pPr>
              <w:pStyle w:val="Compact"/>
              <w:jc w:val="left"/>
            </w:pPr>
            <w:r>
              <w:t xml:space="preserve">GRAND TOTAL (EGP, VAT Inclusive)</w:t>
            </w:r>
          </w:p>
        </w:tc>
        <w:tc>
          <w:tcPr/>
          <w:p>
            <w:pPr>
              <w:pStyle w:val="Compact"/>
              <w:jc w:val="left"/>
            </w:pPr>
            <w:r>
              <w:t xml:space="preserve">1,077,870</w:t>
            </w:r>
          </w:p>
        </w:tc>
      </w:tr>
    </w:tbl>
    <w:bookmarkEnd w:id="23"/>
    <w:bookmarkStart w:id="24" w:name="X06f751c0fef37426aad28df54ec1acd620508e5"/>
    <w:p>
      <w:pPr>
        <w:pStyle w:val="Heading2"/>
      </w:pPr>
      <w:r>
        <w:t xml:space="preserve">4. Terms &amp; Conditions of This Quotation Estimate</w:t>
      </w:r>
    </w:p>
    <w:p>
      <w:pPr>
        <w:numPr>
          <w:ilvl w:val="0"/>
          <w:numId w:val="1002"/>
        </w:numPr>
        <w:pStyle w:val="Compact"/>
      </w:pPr>
      <w:r>
        <w:t xml:space="preserve">This Quotation Estimate is valid for a period of thirty (30) calendar days from the date of issue. Beyond this period, pricing for the Systems Engineer engagement may be subject to revision based on market fluctuations in Egypt Cairo.</w:t>
      </w:r>
    </w:p>
    <w:p>
      <w:pPr>
        <w:numPr>
          <w:ilvl w:val="0"/>
          <w:numId w:val="1002"/>
        </w:numPr>
        <w:pStyle w:val="Compact"/>
      </w:pPr>
      <w:r>
        <w:t xml:space="preserve">Payment terms: 30% advance upon contract signing, 40% at the six-month milestone, and 30% upon successful project completion and final acceptance in Egypt Cairo.</w:t>
      </w:r>
    </w:p>
    <w:p>
      <w:pPr>
        <w:numPr>
          <w:ilvl w:val="0"/>
          <w:numId w:val="1002"/>
        </w:numPr>
        <w:pStyle w:val="Compact"/>
      </w:pPr>
      <w:r>
        <w:t xml:space="preserve">All work performed by the Systems Engineer shall comply with the Egyptian Labor Law (Law No. 12 of 2003, as amended) and applicable regulations of the Greater Cairo Governorate.</w:t>
      </w:r>
    </w:p>
    <w:p>
      <w:pPr>
        <w:numPr>
          <w:ilvl w:val="0"/>
          <w:numId w:val="1002"/>
        </w:numPr>
        <w:pStyle w:val="Compact"/>
      </w:pPr>
      <w:r>
        <w:t xml:space="preserve">Intellectual property generated during the engagement shall vest in the client upon full payment, as stipulated in the master service agreement.</w:t>
      </w:r>
    </w:p>
    <w:p>
      <w:pPr>
        <w:numPr>
          <w:ilvl w:val="0"/>
          <w:numId w:val="1002"/>
        </w:numPr>
        <w:pStyle w:val="Compact"/>
      </w:pPr>
      <w:r>
        <w:t xml:space="preserve">Any scope changes beyond the defined Systems Engineer responsibilities outlined in Section 2 will require a formal change order and a revised Quotation Estimate prior to execution.</w:t>
      </w:r>
    </w:p>
    <w:p>
      <w:pPr>
        <w:numPr>
          <w:ilvl w:val="0"/>
          <w:numId w:val="1002"/>
        </w:numPr>
        <w:pStyle w:val="Compact"/>
      </w:pPr>
      <w:r>
        <w:t xml:space="preserve">Force majeure events, including but not limited to civil unrest, natural disasters, or government-mandated shutdowns in Egypt Cairo, shall suspend contractual obligations without penalty to either party.</w:t>
      </w:r>
    </w:p>
    <w:p>
      <w:pPr>
        <w:numPr>
          <w:ilvl w:val="0"/>
          <w:numId w:val="1002"/>
        </w:numPr>
        <w:pStyle w:val="Compact"/>
      </w:pPr>
      <w:r>
        <w:t xml:space="preserve">Confidentiality: All proprietary information exchanged under this Quotation Estimate and subsequent contract shall be treated as strictly confidential for a period of two (2) years post-termination.</w:t>
      </w:r>
    </w:p>
    <w:bookmarkEnd w:id="24"/>
    <w:bookmarkStart w:id="25" w:name="acceptance-authorization"/>
    <w:p>
      <w:pPr>
        <w:pStyle w:val="Heading2"/>
      </w:pPr>
      <w:r>
        <w:t xml:space="preserve">5. Acceptance &amp; Authorization</w:t>
      </w:r>
    </w:p>
    <w:p>
      <w:pPr>
        <w:pStyle w:val="FirstParagraph"/>
      </w:pPr>
      <w:r>
        <w:t xml:space="preserve">By signing below, the client acknowledges receipt of this Quotation Estimate for the Systems Engineer services in Egypt Cairo and agrees to the terms, pricing, and conditions outlined herein. This signature constitutes a binding acceptance of the Quotation Estimate and authorizes NileTech Solutions &amp; Consulting to proceed with the engagement.</w:t>
      </w:r>
    </w:p>
    <w:p>
      <w:pPr>
        <w:pStyle w:val="BodyText"/>
      </w:pPr>
      <w:r>
        <w:rPr>
          <w:bCs/>
          <w:b/>
        </w:rPr>
        <w:t xml:space="preserve">For NileTech Solutions &amp; Consulting</w:t>
      </w:r>
      <w:r>
        <w:br/>
      </w:r>
      <w:r>
        <w:t xml:space="preserve">Authorized Signatory</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the Client</w:t>
      </w:r>
      <w:r>
        <w:br/>
      </w:r>
      <w: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t xml:space="preserve">NileTech Solutions &amp; Consulting | 12 Tahrir Square, Downtown, Egypt Cairo 11511, Arab Republic of Egypt</w:t>
      </w:r>
      <w:r>
        <w:br/>
      </w:r>
      <w:r>
        <w:t xml:space="preserve">Tel: +20 2 2577 0000 | Email: quotations@niletech-egypt.com | Tax Registration No: 552-881-2025</w:t>
      </w:r>
      <w:r>
        <w:br/>
      </w:r>
      <w:r>
        <w:t xml:space="preserve">This Quotation Estimate is a commercial document and does not constitute a binding contract until countersigned by both parties.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 Egypt Cairo</dc:title>
  <dc:creator/>
  <dc:language>en</dc:language>
  <cp:keywords/>
  <dcterms:created xsi:type="dcterms:W3CDTF">2026-10-10T03:33:54Z</dcterms:created>
  <dcterms:modified xsi:type="dcterms:W3CDTF">2026-10-10T03:33:54Z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