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Systems</w:t>
      </w:r>
      <w:r>
        <w:t xml:space="preserve"> </w:t>
      </w:r>
      <w:r>
        <w:t xml:space="preserve">Engineer</w:t>
      </w:r>
      <w:r>
        <w:t xml:space="preserve"> </w:t>
      </w:r>
      <w:r>
        <w:t xml:space="preserve">Services</w:t>
      </w:r>
      <w:r>
        <w:t xml:space="preserve"> </w:t>
      </w:r>
      <w:r>
        <w:t xml:space="preserve">-</w:t>
      </w:r>
      <w:r>
        <w:t xml:space="preserve"> </w:t>
      </w:r>
      <w:r>
        <w:t xml:space="preserve">Israel</w:t>
      </w:r>
      <w:r>
        <w:t xml:space="preserve"> </w:t>
      </w:r>
      <w:r>
        <w:t xml:space="preserve">Jerusalem</w:t>
      </w:r>
    </w:p>
    <w:bookmarkStart w:id="20" w:name="quotation-estimate"/>
    <w:p>
      <w:pPr>
        <w:pStyle w:val="Heading1"/>
      </w:pPr>
      <w:r>
        <w:t xml:space="preserve">QUOTATION ESTIMATE</w:t>
      </w:r>
    </w:p>
    <w:p>
      <w:pPr>
        <w:pStyle w:val="FirstParagraph"/>
      </w:pPr>
      <w:r>
        <w:t xml:space="preserve">Professional Systems Engineer Services — Israel Jerusalem</w:t>
      </w:r>
    </w:p>
    <w:p>
      <w:pPr>
        <w:pStyle w:val="BodyText"/>
      </w:pPr>
      <w:r>
        <w:t xml:space="preserve">Document Reference: QE-2025-JER-0047</w:t>
      </w:r>
    </w:p>
    <w:bookmarkEnd w:id="20"/>
    <w:p>
      <w:pPr>
        <w:pStyle w:val="BodyText"/>
      </w:pPr>
      <w:r>
        <w:rPr>
          <w:bCs/>
          <w:b/>
        </w:rPr>
        <w:t xml:space="preserve">Prepared By:</w:t>
      </w:r>
      <w:r>
        <w:t xml:space="preserve"> </w:t>
      </w:r>
      <w:r>
        <w:t xml:space="preserve">Levant Infrastructure Solutions Ltd.</w:t>
      </w:r>
      <w:r>
        <w:br/>
      </w:r>
      <w:r>
        <w:rPr>
          <w:bCs/>
          <w:b/>
        </w:rPr>
        <w:t xml:space="preserve">Address:</w:t>
      </w:r>
      <w:r>
        <w:t xml:space="preserve"> </w:t>
      </w:r>
      <w:r>
        <w:t xml:space="preserve">12 King George Street, Jerusalem, Israel</w:t>
      </w:r>
      <w:r>
        <w:br/>
      </w:r>
      <w:r>
        <w:rPr>
          <w:bCs/>
          <w:b/>
        </w:rPr>
        <w:t xml:space="preserve">Contact:</w:t>
      </w:r>
      <w:r>
        <w:t xml:space="preserve"> </w:t>
      </w:r>
      <w:r>
        <w:t xml:space="preserve">info@levantinfra.co.il | +972-2-625-4400</w:t>
      </w:r>
    </w:p>
    <w:p>
      <w:pPr>
        <w:pStyle w:val="BodyText"/>
      </w:pPr>
      <w:r>
        <w:rPr>
          <w:bCs/>
          <w:b/>
        </w:rPr>
        <w:t xml:space="preserve">Date of Issue:</w:t>
      </w:r>
      <w:r>
        <w:t xml:space="preserve"> </w:t>
      </w:r>
      <w:r>
        <w:t xml:space="preserve">14 June 2025</w:t>
      </w:r>
      <w:r>
        <w:br/>
      </w:r>
      <w:r>
        <w:rPr>
          <w:bCs/>
          <w:b/>
        </w:rPr>
        <w:t xml:space="preserve">Valid Until:</w:t>
      </w:r>
      <w:r>
        <w:t xml:space="preserve"> </w:t>
      </w:r>
      <w:r>
        <w:t xml:space="preserve">14 July 2025</w:t>
      </w:r>
      <w:r>
        <w:br/>
      </w:r>
      <w:r>
        <w:rPr>
          <w:bCs/>
          <w:b/>
        </w:rPr>
        <w:t xml:space="preserve">Client:</w:t>
      </w:r>
      <w:r>
        <w:t xml:space="preserve"> </w:t>
      </w:r>
      <w:r>
        <w:t xml:space="preserve">[Client Name / Organization]</w:t>
      </w:r>
      <w:r>
        <w:br/>
      </w:r>
      <w:r>
        <w:rPr>
          <w:bCs/>
          <w:b/>
        </w:rPr>
        <w:t xml:space="preserve">Project Location:</w:t>
      </w:r>
      <w:r>
        <w:t xml:space="preserve"> </w:t>
      </w:r>
      <w:r>
        <w:t xml:space="preserve">Israel Jerusalem</w:t>
      </w:r>
    </w:p>
    <w:bookmarkStart w:id="21" w:name="executive-summary"/>
    <w:p>
      <w:pPr>
        <w:pStyle w:val="Heading2"/>
      </w:pPr>
      <w:r>
        <w:t xml:space="preserve">1. Executive Summary</w:t>
      </w:r>
    </w:p>
    <w:p>
      <w:pPr>
        <w:pStyle w:val="FirstParagraph"/>
      </w:pPr>
      <w:r>
        <w:t xml:space="preserve">This</w:t>
      </w:r>
      <w:r>
        <w:t xml:space="preserve"> </w:t>
      </w:r>
      <w:r>
        <w:t xml:space="preserve">Quotation Estimate</w:t>
      </w:r>
      <w:r>
        <w:t xml:space="preserve"> </w:t>
      </w:r>
      <w:r>
        <w:t xml:space="preserve">is issued by Levant Infrastructure Solutions Ltd. to provide a comprehensive and transparent breakdown of costs associated with the engagement of a senior</w:t>
      </w:r>
      <w:r>
        <w:t xml:space="preserve"> </w:t>
      </w:r>
      <w:r>
        <w:t xml:space="preserve">Systems Engineer</w:t>
      </w:r>
      <w:r>
        <w:t xml:space="preserve"> </w:t>
      </w:r>
      <w:r>
        <w:t xml:space="preserve">for the design, implementation, and ongoing maintenance of enterprise-grade IT infrastructure within the</w:t>
      </w:r>
      <w:r>
        <w:t xml:space="preserve"> </w:t>
      </w:r>
      <w:r>
        <w:t xml:space="preserve">Israel Jerusalem</w:t>
      </w:r>
      <w:r>
        <w:t xml:space="preserve"> </w:t>
      </w:r>
      <w:r>
        <w:t xml:space="preserve">metropolitan area. This document serves as the formal pricing proposal and scope definition for all services rendered under this engagement. The</w:t>
      </w:r>
      <w:r>
        <w:t xml:space="preserve"> </w:t>
      </w:r>
      <w:r>
        <w:t xml:space="preserve">Systems Engineer</w:t>
      </w:r>
      <w:r>
        <w:t xml:space="preserve"> </w:t>
      </w:r>
      <w:r>
        <w:t xml:space="preserve">will be dedicated exclusively to the client's operations and will operate primarily from the client's premises located in</w:t>
      </w:r>
      <w:r>
        <w:t xml:space="preserve"> </w:t>
      </w:r>
      <w:r>
        <w:t xml:space="preserve">Israel Jerusalem</w:t>
      </w:r>
      <w:r>
        <w:t xml:space="preserve">, ensuring proximity, responsiveness, and full compliance with local regulatory frameworks.</w:t>
      </w:r>
    </w:p>
    <w:bookmarkEnd w:id="21"/>
    <w:bookmarkStart w:id="26" w:name="scope-of-work"/>
    <w:p>
      <w:pPr>
        <w:pStyle w:val="Heading2"/>
      </w:pPr>
      <w:r>
        <w:t xml:space="preserve">2. Scope of Work</w:t>
      </w:r>
    </w:p>
    <w:p>
      <w:pPr>
        <w:pStyle w:val="FirstParagraph"/>
      </w:pPr>
      <w:r>
        <w:t xml:space="preserve">The</w:t>
      </w:r>
      <w:r>
        <w:t xml:space="preserve"> </w:t>
      </w:r>
      <w:r>
        <w:t xml:space="preserve">Systems Engineer</w:t>
      </w:r>
      <w:r>
        <w:t xml:space="preserve"> </w:t>
      </w:r>
      <w:r>
        <w:t xml:space="preserve">engaged under this</w:t>
      </w:r>
      <w:r>
        <w:t xml:space="preserve"> </w:t>
      </w:r>
      <w:r>
        <w:t xml:space="preserve">Quotation Estimate</w:t>
      </w:r>
      <w:r>
        <w:t xml:space="preserve"> </w:t>
      </w:r>
      <w:r>
        <w:t xml:space="preserve">will deliver the following core services tailored to the operational needs of the client in</w:t>
      </w:r>
      <w:r>
        <w:t xml:space="preserve"> </w:t>
      </w:r>
      <w:r>
        <w:t xml:space="preserve">Israel Jerusalem</w:t>
      </w:r>
      <w:r>
        <w:t xml:space="preserve">:</w:t>
      </w:r>
    </w:p>
    <w:bookmarkStart w:id="22" w:name="infrastructure-design-architecture"/>
    <w:p>
      <w:pPr>
        <w:pStyle w:val="Heading3"/>
      </w:pPr>
      <w:r>
        <w:t xml:space="preserve">2.1 Infrastructure Design &amp; Architecture</w:t>
      </w:r>
    </w:p>
    <w:p>
      <w:pPr>
        <w:pStyle w:val="FirstParagraph"/>
      </w:pPr>
      <w:r>
        <w:t xml:space="preserve">The</w:t>
      </w:r>
      <w:r>
        <w:t xml:space="preserve"> </w:t>
      </w:r>
      <w:r>
        <w:t xml:space="preserve">Systems Engineer</w:t>
      </w:r>
      <w:r>
        <w:t xml:space="preserve"> </w:t>
      </w:r>
      <w:r>
        <w:t xml:space="preserve">will conduct a full audit of the existing IT environment, produce a detailed architecture blueprint, and design scalable network topologies, server clusters, and storage solutions. All designs will account for the specific geographic and regulatory considerations of operating in</w:t>
      </w:r>
      <w:r>
        <w:t xml:space="preserve"> </w:t>
      </w:r>
      <w:r>
        <w:t xml:space="preserve">Israel Jerusalem</w:t>
      </w:r>
      <w:r>
        <w:t xml:space="preserve">, including data residency requirements under Israeli law.</w:t>
      </w:r>
    </w:p>
    <w:bookmarkEnd w:id="22"/>
    <w:bookmarkStart w:id="23" w:name="implementation-deployment"/>
    <w:p>
      <w:pPr>
        <w:pStyle w:val="Heading3"/>
      </w:pPr>
      <w:r>
        <w:t xml:space="preserve">2.2 Implementation &amp; Deployment</w:t>
      </w:r>
    </w:p>
    <w:p>
      <w:pPr>
        <w:pStyle w:val="FirstParagraph"/>
      </w:pPr>
      <w:r>
        <w:t xml:space="preserve">Hands-on deployment of hardware, virtualization platforms (VMware, Hyper-V, or KVM), container orchestration (Kubernetes), and cloud-hybrid integrations. The</w:t>
      </w:r>
      <w:r>
        <w:t xml:space="preserve"> </w:t>
      </w:r>
      <w:r>
        <w:t xml:space="preserve">Systems Engineer</w:t>
      </w:r>
      <w:r>
        <w:t xml:space="preserve"> </w:t>
      </w:r>
      <w:r>
        <w:t xml:space="preserve">will manage all cabling, rack installations, firmware updates, and initial configuration within the client's data center or co-location facility in</w:t>
      </w:r>
      <w:r>
        <w:t xml:space="preserve"> </w:t>
      </w:r>
      <w:r>
        <w:t xml:space="preserve">Israel Jerusalem</w:t>
      </w:r>
      <w:r>
        <w:t xml:space="preserve">.</w:t>
      </w:r>
    </w:p>
    <w:bookmarkEnd w:id="23"/>
    <w:bookmarkStart w:id="24" w:name="security-hardening-compliance"/>
    <w:p>
      <w:pPr>
        <w:pStyle w:val="Heading3"/>
      </w:pPr>
      <w:r>
        <w:t xml:space="preserve">2.3 Security Hardening &amp; Compliance</w:t>
      </w:r>
    </w:p>
    <w:p>
      <w:pPr>
        <w:pStyle w:val="FirstParagraph"/>
      </w:pPr>
      <w:r>
        <w:t xml:space="preserve">Implementation of firewalls, intrusion detection/prevention systems, endpoint protection, and encryption protocols. The</w:t>
      </w:r>
      <w:r>
        <w:t xml:space="preserve"> </w:t>
      </w:r>
      <w:r>
        <w:t xml:space="preserve">Systems Engineer</w:t>
      </w:r>
      <w:r>
        <w:t xml:space="preserve"> </w:t>
      </w:r>
      <w:r>
        <w:t xml:space="preserve">will ensure full alignment with the Israeli Cybersecurity Law (5779-2019) and any sector-specific mandates applicable to the client's industry in</w:t>
      </w:r>
      <w:r>
        <w:t xml:space="preserve"> </w:t>
      </w:r>
      <w:r>
        <w:t xml:space="preserve">Israel Jerusalem</w:t>
      </w:r>
      <w:r>
        <w:t xml:space="preserve">.</w:t>
      </w:r>
    </w:p>
    <w:bookmarkEnd w:id="24"/>
    <w:bookmarkStart w:id="25" w:name="ongoing-maintenance-support"/>
    <w:p>
      <w:pPr>
        <w:pStyle w:val="Heading3"/>
      </w:pPr>
      <w:r>
        <w:t xml:space="preserve">2.4 Ongoing Maintenance &amp; Support</w:t>
      </w:r>
    </w:p>
    <w:p>
      <w:pPr>
        <w:pStyle w:val="FirstParagraph"/>
      </w:pPr>
      <w:r>
        <w:t xml:space="preserve">Proactive monitoring, patch management, performance tuning, and incident response. The</w:t>
      </w:r>
      <w:r>
        <w:t xml:space="preserve"> </w:t>
      </w:r>
      <w:r>
        <w:t xml:space="preserve">Systems Engineer</w:t>
      </w:r>
      <w:r>
        <w:t xml:space="preserve"> </w:t>
      </w:r>
      <w:r>
        <w:t xml:space="preserve">will provide on-site support during standard business hours (Sunday through Thursday, 08:00–17:00 IST) and remote after-hours coverage as specified in the service-level agreement.</w:t>
      </w:r>
    </w:p>
    <w:bookmarkEnd w:id="25"/>
    <w:bookmarkEnd w:id="26"/>
    <w:bookmarkStart w:id="27" w:name="pricing-breakdown"/>
    <w:p>
      <w:pPr>
        <w:pStyle w:val="Heading2"/>
      </w:pPr>
      <w:r>
        <w:t xml:space="preserve">3. Pricing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 Service</w:t>
            </w:r>
          </w:p>
        </w:tc>
        <w:tc>
          <w:tcPr/>
          <w:p>
            <w:pPr>
              <w:pStyle w:val="Compact"/>
              <w:jc w:val="left"/>
            </w:pPr>
            <w:r>
              <w:t xml:space="preserve">Unit</w:t>
            </w:r>
          </w:p>
        </w:tc>
        <w:tc>
          <w:tcPr/>
          <w:p>
            <w:pPr>
              <w:pStyle w:val="Compact"/>
              <w:jc w:val="left"/>
            </w:pPr>
            <w:r>
              <w:t xml:space="preserve">Rate (ILS)</w:t>
            </w:r>
          </w:p>
        </w:tc>
        <w:tc>
          <w:tcPr/>
          <w:p>
            <w:pPr>
              <w:pStyle w:val="Compact"/>
              <w:jc w:val="left"/>
            </w:pPr>
            <w:r>
              <w:t xml:space="preserve">Quantity</w:t>
            </w:r>
          </w:p>
        </w:tc>
        <w:tc>
          <w:tcPr/>
          <w:p>
            <w:pPr>
              <w:pStyle w:val="Compact"/>
              <w:jc w:val="left"/>
            </w:pPr>
            <w:r>
              <w:t xml:space="preserve">Subtotal (ILS)</w:t>
            </w:r>
          </w:p>
        </w:tc>
      </w:tr>
      <w:tr>
        <w:tc>
          <w:tcPr/>
          <w:p>
            <w:pPr>
              <w:pStyle w:val="Compact"/>
              <w:jc w:val="left"/>
            </w:pPr>
            <w:r>
              <w:t xml:space="preserve">Senior Systems Engineer — Monthly Retainer (Design &amp; Implementation Phase)</w:t>
            </w:r>
          </w:p>
        </w:tc>
        <w:tc>
          <w:tcPr/>
          <w:p>
            <w:pPr>
              <w:pStyle w:val="Compact"/>
              <w:jc w:val="left"/>
            </w:pPr>
            <w:r>
              <w:t xml:space="preserve">Month</w:t>
            </w:r>
          </w:p>
        </w:tc>
        <w:tc>
          <w:tcPr/>
          <w:p>
            <w:pPr>
              <w:pStyle w:val="Compact"/>
              <w:jc w:val="left"/>
            </w:pPr>
            <w:r>
              <w:t xml:space="preserve">32,000</w:t>
            </w:r>
          </w:p>
        </w:tc>
        <w:tc>
          <w:tcPr/>
          <w:p>
            <w:pPr>
              <w:pStyle w:val="Compact"/>
              <w:jc w:val="left"/>
            </w:pPr>
            <w:r>
              <w:t xml:space="preserve">3</w:t>
            </w:r>
          </w:p>
        </w:tc>
        <w:tc>
          <w:tcPr/>
          <w:p>
            <w:pPr>
              <w:pStyle w:val="Compact"/>
              <w:jc w:val="left"/>
            </w:pPr>
            <w:r>
              <w:t xml:space="preserve">96,000</w:t>
            </w:r>
          </w:p>
        </w:tc>
      </w:tr>
      <w:tr>
        <w:tc>
          <w:tcPr/>
          <w:p>
            <w:pPr>
              <w:pStyle w:val="Compact"/>
              <w:jc w:val="left"/>
            </w:pPr>
            <w:r>
              <w:t xml:space="preserve">Systems Engineer — Ongoing Maintenance &amp; Support (Post-Deployment)</w:t>
            </w:r>
          </w:p>
        </w:tc>
        <w:tc>
          <w:tcPr/>
          <w:p>
            <w:pPr>
              <w:pStyle w:val="Compact"/>
              <w:jc w:val="left"/>
            </w:pPr>
            <w:r>
              <w:t xml:space="preserve">Month</w:t>
            </w:r>
          </w:p>
        </w:tc>
        <w:tc>
          <w:tcPr/>
          <w:p>
            <w:pPr>
              <w:pStyle w:val="Compact"/>
              <w:jc w:val="left"/>
            </w:pPr>
            <w:r>
              <w:t xml:space="preserve">18,500</w:t>
            </w:r>
          </w:p>
        </w:tc>
        <w:tc>
          <w:tcPr/>
          <w:p>
            <w:pPr>
              <w:pStyle w:val="Compact"/>
              <w:jc w:val="left"/>
            </w:pPr>
            <w:r>
              <w:t xml:space="preserve">12</w:t>
            </w:r>
          </w:p>
        </w:tc>
        <w:tc>
          <w:tcPr/>
          <w:p>
            <w:pPr>
              <w:pStyle w:val="Compact"/>
              <w:jc w:val="left"/>
            </w:pPr>
            <w:r>
              <w:t xml:space="preserve">222,000</w:t>
            </w:r>
          </w:p>
        </w:tc>
      </w:tr>
      <w:tr>
        <w:tc>
          <w:tcPr/>
          <w:p>
            <w:pPr>
              <w:pStyle w:val="Compact"/>
              <w:jc w:val="left"/>
            </w:pPr>
            <w:r>
              <w:t xml:space="preserve">Emergency On-Call Response (Israel Jerusalem, after-hours)</w:t>
            </w:r>
          </w:p>
        </w:tc>
        <w:tc>
          <w:tcPr/>
          <w:p>
            <w:pPr>
              <w:pStyle w:val="Compact"/>
              <w:jc w:val="left"/>
            </w:pPr>
            <w:r>
              <w:t xml:space="preserve">Hour</w:t>
            </w:r>
          </w:p>
        </w:tc>
        <w:tc>
          <w:tcPr/>
          <w:p>
            <w:pPr>
              <w:pStyle w:val="Compact"/>
              <w:jc w:val="left"/>
            </w:pPr>
            <w:r>
              <w:t xml:space="preserve">1,200</w:t>
            </w:r>
          </w:p>
        </w:tc>
        <w:tc>
          <w:tcPr/>
          <w:p>
            <w:pPr>
              <w:pStyle w:val="Compact"/>
              <w:jc w:val="left"/>
            </w:pPr>
            <w:r>
              <w:t xml:space="preserve">20 (est.)</w:t>
            </w:r>
          </w:p>
        </w:tc>
        <w:tc>
          <w:tcPr/>
          <w:p>
            <w:pPr>
              <w:pStyle w:val="Compact"/>
              <w:jc w:val="left"/>
            </w:pPr>
            <w:r>
              <w:t xml:space="preserve">24,000</w:t>
            </w:r>
          </w:p>
        </w:tc>
      </w:tr>
      <w:tr>
        <w:tc>
          <w:tcPr/>
          <w:p>
            <w:pPr>
              <w:pStyle w:val="Compact"/>
              <w:jc w:val="left"/>
            </w:pPr>
            <w:r>
              <w:t xml:space="preserve">Hardware Procurement &amp; Installation (Servers, Switches, UPS)</w:t>
            </w:r>
          </w:p>
        </w:tc>
        <w:tc>
          <w:tcPr/>
          <w:p>
            <w:pPr>
              <w:pStyle w:val="Compact"/>
              <w:jc w:val="left"/>
            </w:pPr>
            <w:r>
              <w:t xml:space="preserve">Project</w:t>
            </w:r>
          </w:p>
        </w:tc>
        <w:tc>
          <w:tcPr/>
          <w:p>
            <w:pPr>
              <w:pStyle w:val="Compact"/>
              <w:jc w:val="left"/>
            </w:pPr>
            <w:r>
              <w:t xml:space="preserve">145,000</w:t>
            </w:r>
          </w:p>
        </w:tc>
        <w:tc>
          <w:tcPr/>
          <w:p>
            <w:pPr>
              <w:pStyle w:val="Compact"/>
              <w:jc w:val="left"/>
            </w:pPr>
            <w:r>
              <w:t xml:space="preserve">1</w:t>
            </w:r>
          </w:p>
        </w:tc>
        <w:tc>
          <w:tcPr/>
          <w:p>
            <w:pPr>
              <w:pStyle w:val="Compact"/>
              <w:jc w:val="left"/>
            </w:pPr>
            <w:r>
              <w:t xml:space="preserve">145,000</w:t>
            </w:r>
          </w:p>
        </w:tc>
      </w:tr>
      <w:tr>
        <w:tc>
          <w:tcPr/>
          <w:p>
            <w:pPr>
              <w:pStyle w:val="Compact"/>
              <w:jc w:val="left"/>
            </w:pPr>
            <w:r>
              <w:t xml:space="preserve">Security Audit &amp; Compliance Certification (Israeli Cyber Law)</w:t>
            </w:r>
          </w:p>
        </w:tc>
        <w:tc>
          <w:tcPr/>
          <w:p>
            <w:pPr>
              <w:pStyle w:val="Compact"/>
              <w:jc w:val="left"/>
            </w:pPr>
            <w:r>
              <w:t xml:space="preserve">Project</w:t>
            </w:r>
          </w:p>
        </w:tc>
        <w:tc>
          <w:tcPr/>
          <w:p>
            <w:pPr>
              <w:pStyle w:val="Compact"/>
              <w:jc w:val="left"/>
            </w:pPr>
            <w:r>
              <w:t xml:space="preserve">28,000</w:t>
            </w:r>
          </w:p>
        </w:tc>
        <w:tc>
          <w:tcPr/>
          <w:p>
            <w:pPr>
              <w:pStyle w:val="Compact"/>
              <w:jc w:val="left"/>
            </w:pPr>
            <w:r>
              <w:t xml:space="preserve">1</w:t>
            </w:r>
          </w:p>
        </w:tc>
        <w:tc>
          <w:tcPr/>
          <w:p>
            <w:pPr>
              <w:pStyle w:val="Compact"/>
              <w:jc w:val="left"/>
            </w:pPr>
            <w:r>
              <w:t xml:space="preserve">28,000</w:t>
            </w:r>
          </w:p>
        </w:tc>
      </w:tr>
      <w:tr>
        <w:tc>
          <w:tcPr/>
          <w:p>
            <w:pPr>
              <w:pStyle w:val="Compact"/>
              <w:jc w:val="left"/>
            </w:pPr>
            <w:r>
              <w:t xml:space="preserve">Documentation &amp; Knowledge Transfer Package</w:t>
            </w:r>
          </w:p>
        </w:tc>
        <w:tc>
          <w:tcPr/>
          <w:p>
            <w:pPr>
              <w:pStyle w:val="Compact"/>
              <w:jc w:val="left"/>
            </w:pPr>
            <w:r>
              <w:t xml:space="preserve">Project</w:t>
            </w:r>
          </w:p>
        </w:tc>
        <w:tc>
          <w:tcPr/>
          <w:p>
            <w:pPr>
              <w:pStyle w:val="Compact"/>
              <w:jc w:val="left"/>
            </w:pPr>
            <w:r>
              <w:t xml:space="preserve">12,000</w:t>
            </w:r>
          </w:p>
        </w:tc>
        <w:tc>
          <w:tcPr/>
          <w:p>
            <w:pPr>
              <w:pStyle w:val="Compact"/>
              <w:jc w:val="left"/>
            </w:pPr>
            <w:r>
              <w:t xml:space="preserve">1</w:t>
            </w:r>
          </w:p>
        </w:tc>
        <w:tc>
          <w:tcPr/>
          <w:p>
            <w:pPr>
              <w:pStyle w:val="Compact"/>
              <w:jc w:val="left"/>
            </w:pPr>
            <w:r>
              <w:t xml:space="preserve">12,000</w:t>
            </w:r>
          </w:p>
        </w:tc>
      </w:tr>
      <w:tr>
        <w:tc>
          <w:tcPr>
            <w:gridSpan w:val="4"/>
          </w:tcPr>
          <w:p>
            <w:pPr>
              <w:pStyle w:val="Compact"/>
              <w:jc w:val="left"/>
            </w:pPr>
            <w:r>
              <w:t xml:space="preserve">TOTAL ESTIMATED COST (excl. VAT)</w:t>
            </w:r>
          </w:p>
        </w:tc>
        <w:tc>
          <w:tcPr/>
          <w:p>
            <w:pPr>
              <w:pStyle w:val="Compact"/>
              <w:jc w:val="left"/>
            </w:pPr>
            <w:r>
              <w:t xml:space="preserve">527,000 ILS</w:t>
            </w:r>
          </w:p>
        </w:tc>
      </w:tr>
      <w:tr>
        <w:tc>
          <w:tcPr>
            <w:gridSpan w:val="4"/>
          </w:tcPr>
          <w:p>
            <w:pPr>
              <w:pStyle w:val="Compact"/>
              <w:jc w:val="left"/>
            </w:pPr>
            <w:r>
              <w:t xml:space="preserve">VAT (18%)</w:t>
            </w:r>
          </w:p>
        </w:tc>
        <w:tc>
          <w:tcPr/>
          <w:p>
            <w:pPr>
              <w:pStyle w:val="Compact"/>
              <w:jc w:val="left"/>
            </w:pPr>
            <w:r>
              <w:t xml:space="preserve">94,860 ILS</w:t>
            </w:r>
          </w:p>
        </w:tc>
      </w:tr>
      <w:tr>
        <w:tc>
          <w:tcPr>
            <w:gridSpan w:val="4"/>
          </w:tcPr>
          <w:p>
            <w:pPr>
              <w:pStyle w:val="Compact"/>
              <w:jc w:val="left"/>
            </w:pPr>
            <w:r>
              <w:t xml:space="preserve">GRAND TOTAL (incl. VAT)</w:t>
            </w:r>
          </w:p>
        </w:tc>
        <w:tc>
          <w:tcPr/>
          <w:p>
            <w:pPr>
              <w:pStyle w:val="Compact"/>
              <w:jc w:val="left"/>
            </w:pPr>
            <w:r>
              <w:t xml:space="preserve">621,860 ILS</w:t>
            </w:r>
          </w:p>
        </w:tc>
      </w:tr>
    </w:tbl>
    <w:p>
      <w:pPr>
        <w:pStyle w:val="BodyText"/>
      </w:pPr>
      <w:r>
        <w:rPr>
          <w:bCs/>
          <w:b/>
        </w:rPr>
        <w:t xml:space="preserve">Note:</w:t>
      </w:r>
      <w:r>
        <w:t xml:space="preserve"> </w:t>
      </w:r>
      <w:r>
        <w:t xml:space="preserve">All rates in this</w:t>
      </w:r>
      <w:r>
        <w:t xml:space="preserve"> </w:t>
      </w:r>
      <w:r>
        <w:t xml:space="preserve">Quotation Estimate</w:t>
      </w:r>
      <w:r>
        <w:t xml:space="preserve"> </w:t>
      </w:r>
      <w:r>
        <w:t xml:space="preserve">are quoted in Israeli New Shekels (ILS). Hardware costs are estimates based on current market pricing in</w:t>
      </w:r>
      <w:r>
        <w:t xml:space="preserve"> </w:t>
      </w:r>
      <w:r>
        <w:t xml:space="preserve">Israel Jerusalem</w:t>
      </w:r>
      <w:r>
        <w:t xml:space="preserve"> </w:t>
      </w:r>
      <w:r>
        <w:t xml:space="preserve">and may vary by up to 10% depending on final vendor selection. The</w:t>
      </w:r>
      <w:r>
        <w:t xml:space="preserve"> </w:t>
      </w:r>
      <w:r>
        <w:t xml:space="preserve">Systems Engineer</w:t>
      </w:r>
      <w:r>
        <w:t xml:space="preserve"> </w:t>
      </w:r>
      <w:r>
        <w:t xml:space="preserve">retainer includes up to 160 billable hours per month; additional hours will be invoiced at the hourly rate of 800 ILS.</w:t>
      </w:r>
    </w:p>
    <w:bookmarkEnd w:id="27"/>
    <w:bookmarkStart w:id="28" w:name="terms-conditions"/>
    <w:p>
      <w:pPr>
        <w:pStyle w:val="Heading2"/>
      </w:pPr>
      <w:r>
        <w:t xml:space="preserve">4. Terms &amp;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the expiry date, all pricing is subject to revision.</w:t>
      </w:r>
    </w:p>
    <w:p>
      <w:pPr>
        <w:numPr>
          <w:ilvl w:val="0"/>
          <w:numId w:val="1001"/>
        </w:numPr>
        <w:pStyle w:val="Compact"/>
      </w:pPr>
      <w:r>
        <w:t xml:space="preserve">Payment terms: 30% advance upon contract signing, 40% upon completion of the implementation phase, and 30% upon successful handover and 30-day warranty period. Monthly maintenance fees are invoiced in arrears.</w:t>
      </w:r>
    </w:p>
    <w:p>
      <w:pPr>
        <w:numPr>
          <w:ilvl w:val="0"/>
          <w:numId w:val="1001"/>
        </w:numPr>
        <w:pStyle w:val="Compact"/>
      </w:pPr>
      <w:r>
        <w:t xml:space="preserve">The</w:t>
      </w:r>
      <w:r>
        <w:t xml:space="preserve"> </w:t>
      </w:r>
      <w:r>
        <w:t xml:space="preserve">Systems Engineer</w:t>
      </w:r>
      <w:r>
        <w:t xml:space="preserve"> </w:t>
      </w:r>
      <w:r>
        <w:t xml:space="preserve">shall adhere to all applicable Israeli labor laws, tax obligations, and professional standards. The client is responsible for providing a secure workspace in</w:t>
      </w:r>
      <w:r>
        <w:t xml:space="preserve"> </w:t>
      </w:r>
      <w:r>
        <w:t xml:space="preserve">Israel Jerusalem</w:t>
      </w:r>
      <w:r>
        <w:t xml:space="preserve"> </w:t>
      </w:r>
      <w:r>
        <w:t xml:space="preserve">during on-site engagements.</w:t>
      </w:r>
    </w:p>
    <w:p>
      <w:pPr>
        <w:numPr>
          <w:ilvl w:val="0"/>
          <w:numId w:val="1001"/>
        </w:numPr>
        <w:pStyle w:val="Compact"/>
      </w:pPr>
      <w:r>
        <w:t xml:space="preserve">Confidentiality: All data, credentials, and architectural documents accessed by the</w:t>
      </w:r>
      <w:r>
        <w:t xml:space="preserve"> </w:t>
      </w:r>
      <w:r>
        <w:t xml:space="preserve">Systems Engineer</w:t>
      </w:r>
      <w:r>
        <w:t xml:space="preserve"> </w:t>
      </w:r>
      <w:r>
        <w:t xml:space="preserve">are subject to a mutual Non-Disclosure Agreement (NDA) executed prior to commencement of work.</w:t>
      </w:r>
    </w:p>
    <w:p>
      <w:pPr>
        <w:numPr>
          <w:ilvl w:val="0"/>
          <w:numId w:val="1001"/>
        </w:numPr>
        <w:pStyle w:val="Compact"/>
      </w:pPr>
      <w:r>
        <w:t xml:space="preserve">Warranty: A 90-day defect liability period applies to all implementation work. During this period, the</w:t>
      </w:r>
      <w:r>
        <w:t xml:space="preserve"> </w:t>
      </w:r>
      <w:r>
        <w:t xml:space="preserve">Systems Engineer</w:t>
      </w:r>
      <w:r>
        <w:t xml:space="preserve"> </w:t>
      </w:r>
      <w:r>
        <w:t xml:space="preserve">will rectify any identified faults at no additional charge.</w:t>
      </w:r>
    </w:p>
    <w:p>
      <w:pPr>
        <w:numPr>
          <w:ilvl w:val="0"/>
          <w:numId w:val="1001"/>
        </w:numPr>
        <w:pStyle w:val="Compact"/>
      </w:pPr>
      <w:r>
        <w:t xml:space="preserve">Force Majeure: Neither party shall be liable for delays caused by events beyond reasonable control, including but not limited to civil unrest, government-mandated closures, or natural disasters affecting the</w:t>
      </w:r>
      <w:r>
        <w:t xml:space="preserve"> </w:t>
      </w:r>
      <w:r>
        <w:t xml:space="preserve">Israel Jerusalem</w:t>
      </w:r>
      <w:r>
        <w:t xml:space="preserve"> </w:t>
      </w:r>
      <w:r>
        <w:t xml:space="preserve">region.</w:t>
      </w:r>
    </w:p>
    <w:p>
      <w:pPr>
        <w:numPr>
          <w:ilvl w:val="0"/>
          <w:numId w:val="1001"/>
        </w:numPr>
        <w:pStyle w:val="Compact"/>
      </w:pPr>
      <w:r>
        <w:t xml:space="preserve">Dispute Resolution: Any disputes arising from this</w:t>
      </w:r>
      <w:r>
        <w:t xml:space="preserve"> </w:t>
      </w:r>
      <w:r>
        <w:t xml:space="preserve">Quotation Estimate</w:t>
      </w:r>
      <w:r>
        <w:t xml:space="preserve"> </w:t>
      </w:r>
      <w:r>
        <w:t xml:space="preserve">or the resulting contract shall be resolved through mediation in Jerusalem, Israel, in accordance with the laws of the State of Israel.</w:t>
      </w:r>
    </w:p>
    <w:p>
      <w:pPr>
        <w:numPr>
          <w:ilvl w:val="0"/>
          <w:numId w:val="1001"/>
        </w:numPr>
        <w:pStyle w:val="Compact"/>
      </w:pPr>
      <w:r>
        <w:t xml:space="preserve">Termination: Either party may terminate the engagement with thirty (30) days' written notice. In the event of early termination, the client shall pay for all services rendered up to the termination date.</w:t>
      </w:r>
    </w:p>
    <w:bookmarkEnd w:id="28"/>
    <w:bookmarkStart w:id="29" w:name="acceptance-authorization"/>
    <w:p>
      <w:pPr>
        <w:pStyle w:val="Heading2"/>
      </w:pPr>
      <w:r>
        <w:t xml:space="preserve">5. Acceptance &amp; Authorization</w:t>
      </w:r>
    </w:p>
    <w:p>
      <w:pPr>
        <w:pStyle w:val="FirstParagraph"/>
      </w:pPr>
      <w:r>
        <w:t xml:space="preserve">By signing below, the client acknowledges and accepts the terms, scope, and pricing outlined in this</w:t>
      </w:r>
      <w:r>
        <w:t xml:space="preserve"> </w:t>
      </w:r>
      <w:r>
        <w:t xml:space="preserve">Quotation Estimate</w:t>
      </w:r>
      <w:r>
        <w:t xml:space="preserve"> </w:t>
      </w:r>
      <w:r>
        <w:t xml:space="preserve">for the engagement of the</w:t>
      </w:r>
      <w:r>
        <w:t xml:space="preserve"> </w:t>
      </w:r>
      <w:r>
        <w:t xml:space="preserve">Systems Engineer</w:t>
      </w:r>
      <w:r>
        <w:t xml:space="preserve"> </w:t>
      </w:r>
      <w:r>
        <w:t xml:space="preserve">in</w:t>
      </w:r>
      <w:r>
        <w:t xml:space="preserve"> </w:t>
      </w:r>
      <w:r>
        <w:t xml:space="preserve">Israel Jerusalem</w:t>
      </w:r>
      <w:r>
        <w:t xml:space="preserve">. This signature constitutes a binding agreement to proceed with the services as described herein.</w:t>
      </w:r>
    </w:p>
    <w:p>
      <w:pPr>
        <w:pStyle w:val="BodyText"/>
      </w:pPr>
      <w:r>
        <w:rPr>
          <w:bCs/>
          <w:b/>
        </w:rPr>
        <w:t xml:space="preserve">For Levant Infrastructure Solutions Ltd.</w:t>
      </w:r>
      <w:r>
        <w:br/>
      </w:r>
      <w:r>
        <w:t xml:space="preserve">Name: _________________________</w:t>
      </w:r>
      <w:r>
        <w:br/>
      </w:r>
      <w:r>
        <w:t xml:space="preserve">Title: Managing Director</w:t>
      </w:r>
      <w:r>
        <w:br/>
      </w:r>
      <w:r>
        <w:t xml:space="preserve">Date: _________________________</w:t>
      </w:r>
    </w:p>
    <w:p>
      <w:pPr>
        <w:pStyle w:val="BodyText"/>
      </w:pPr>
      <w:r>
        <w:rPr>
          <w:bCs/>
          <w:b/>
        </w:rPr>
        <w:t xml:space="preserve">For the Client</w:t>
      </w:r>
      <w:r>
        <w:br/>
      </w:r>
      <w:r>
        <w:t xml:space="preserve">Name: _________________________</w:t>
      </w:r>
      <w:r>
        <w:br/>
      </w:r>
      <w:r>
        <w:t xml:space="preserve">Title: _________________________</w:t>
      </w:r>
      <w:r>
        <w:br/>
      </w:r>
      <w:r>
        <w:t xml:space="preserve">Date: _________________________</w:t>
      </w:r>
    </w:p>
    <w:p>
      <w:pPr>
        <w:pStyle w:val="BodyText"/>
      </w:pPr>
      <w:r>
        <w:t xml:space="preserve">This Quotation Estimate — QE-2025-JER-0047 — is issued exclusively for the named client and may not be reproduced or distributed without written consent from Levant Infrastructure Solutions Ltd.</w:t>
      </w:r>
      <w:r>
        <w:br/>
      </w:r>
      <w:r>
        <w:t xml:space="preserve">© 2025 Levant Infrastructure Solutions Ltd. | Jerusalem, Israel | All Rights Reserved.</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Systems Engineer Services - Israel Jerusalem</dc:title>
  <dc:creator/>
  <dc:language>en</dc:language>
  <cp:keywords/>
  <dcterms:created xsi:type="dcterms:W3CDTF">2026-10-10T05:01:02Z</dcterms:created>
  <dcterms:modified xsi:type="dcterms:W3CDTF">2026-10-10T05:01:02Z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