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Meridian Technical Solutions Ltd.</w:t>
      </w:r>
    </w:p>
    <w:p>
      <w:pPr>
        <w:pStyle w:val="BodyText"/>
      </w:pPr>
      <w:r>
        <w:t xml:space="preserve">12 HaYarkon Street, Tel Aviv-Yafo, Israel 69719</w:t>
      </w:r>
    </w:p>
    <w:p>
      <w:pPr>
        <w:pStyle w:val="BodyText"/>
      </w:pPr>
      <w:r>
        <w:t xml:space="preserve">Tel: +972-3-555-0142 | Email: quotes@meridiantech.co.il</w:t>
      </w:r>
    </w:p>
    <w:p>
      <w:pPr>
        <w:pStyle w:val="BodyText"/>
      </w:pPr>
      <w:r>
        <w:t xml:space="preserve">VAT No. 51-234-567-8 | Registration: 51-2345678</w:t>
      </w:r>
    </w:p>
    <w:bookmarkEnd w:id="20"/>
    <w:p>
      <w:pPr>
        <w:pStyle w:val="BodyText"/>
      </w:pPr>
      <w:r>
        <w:rPr>
          <w:bCs/>
          <w:b/>
        </w:rPr>
        <w:t xml:space="preserve">Quotation Estimate No.:</w:t>
      </w:r>
      <w:r>
        <w:t xml:space="preserve"> </w:t>
      </w:r>
      <w:r>
        <w:t xml:space="preserve">QTE-2025-TLV-0847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Israel Tel Aviv</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Negev Digital Infrastructure Group Ltd.</w:t>
            </w:r>
          </w:p>
        </w:tc>
      </w:tr>
      <w:tr>
        <w:tc>
          <w:tcPr/>
          <w:p>
            <w:pPr>
              <w:pStyle w:val="Compact"/>
              <w:jc w:val="left"/>
            </w:pPr>
            <w:r>
              <w:rPr>
                <w:bCs/>
                <w:b/>
              </w:rPr>
              <w:t xml:space="preserve">Address:</w:t>
            </w:r>
          </w:p>
        </w:tc>
        <w:tc>
          <w:tcPr/>
          <w:p>
            <w:pPr>
              <w:pStyle w:val="Compact"/>
              <w:jc w:val="left"/>
            </w:pPr>
            <w:r>
              <w:t xml:space="preserve">45 Allenby Boulevard, Tel Aviv-Yafo, Israel 65000</w:t>
            </w:r>
          </w:p>
        </w:tc>
      </w:tr>
      <w:tr>
        <w:tc>
          <w:tcPr/>
          <w:p>
            <w:pPr>
              <w:pStyle w:val="Compact"/>
              <w:jc w:val="left"/>
            </w:pPr>
            <w:r>
              <w:rPr>
                <w:bCs/>
                <w:b/>
              </w:rPr>
              <w:t xml:space="preserve">Contact Person:</w:t>
            </w:r>
          </w:p>
        </w:tc>
        <w:tc>
          <w:tcPr/>
          <w:p>
            <w:pPr>
              <w:pStyle w:val="Compact"/>
              <w:jc w:val="left"/>
            </w:pPr>
            <w:r>
              <w:t xml:space="preserve">Mr. David Peretz, Chief Technology Officer</w:t>
            </w:r>
          </w:p>
        </w:tc>
      </w:tr>
      <w:tr>
        <w:tc>
          <w:tcPr/>
          <w:p>
            <w:pPr>
              <w:pStyle w:val="Compact"/>
              <w:jc w:val="left"/>
            </w:pPr>
            <w:r>
              <w:rPr>
                <w:bCs/>
                <w:b/>
              </w:rPr>
              <w:t xml:space="preserve">Email:</w:t>
            </w:r>
          </w:p>
        </w:tc>
        <w:tc>
          <w:tcPr/>
          <w:p>
            <w:pPr>
              <w:pStyle w:val="Compact"/>
              <w:jc w:val="left"/>
            </w:pPr>
            <w:r>
              <w:t xml:space="preserve">d.peretz@negevdigital.co.il</w:t>
            </w:r>
          </w:p>
        </w:tc>
      </w:tr>
    </w:tbl>
    <w:bookmarkEnd w:id="21"/>
    <w:bookmarkStart w:id="22" w:name="X09324f8132ad998e68702bab1861d90e0f3de50"/>
    <w:p>
      <w:pPr>
        <w:pStyle w:val="Heading2"/>
      </w:pPr>
      <w:r>
        <w:t xml:space="preserve">2. Scope of Services – Systems Engineer Engagement</w:t>
      </w:r>
    </w:p>
    <w:p>
      <w:pPr>
        <w:pStyle w:val="FirstParagraph"/>
      </w:pPr>
      <w:r>
        <w:t xml:space="preserve">This</w:t>
      </w:r>
      <w:r>
        <w:t xml:space="preserve"> </w:t>
      </w:r>
      <w:r>
        <w:t xml:space="preserve">Quotation Estimate</w:t>
      </w:r>
      <w:r>
        <w:t xml:space="preserve"> </w:t>
      </w:r>
      <w:r>
        <w:t xml:space="preserve">is issued by Meridian Technical Solutions Ltd. to provide a comprehensive and itemized cost breakdown for the engagement of a senior</w:t>
      </w:r>
      <w:r>
        <w:t xml:space="preserve"> </w:t>
      </w:r>
      <w:r>
        <w:t xml:space="preserve">Systems Engineer</w:t>
      </w:r>
      <w:r>
        <w:t xml:space="preserve"> </w:t>
      </w:r>
      <w:r>
        <w:t xml:space="preserve">to deliver critical infrastructure design, implementation, and maintenance services for the client's operations based in</w:t>
      </w:r>
      <w:r>
        <w:t xml:space="preserve"> </w:t>
      </w:r>
      <w:r>
        <w:t xml:space="preserve">Israel Tel Aviv</w:t>
      </w:r>
      <w:r>
        <w:t xml:space="preserve">. The</w:t>
      </w:r>
      <w:r>
        <w:t xml:space="preserve"> </w:t>
      </w:r>
      <w:r>
        <w:t xml:space="preserve">Systems Engineer</w:t>
      </w:r>
      <w:r>
        <w:t xml:space="preserve"> </w:t>
      </w:r>
      <w:r>
        <w:t xml:space="preserve">will be responsible for the end-to-end architecture, deployment, monitoring, and optimization of the client's enterprise server environment, network infrastructure, cloud hybrid systems, and disaster recovery solutions.</w:t>
      </w:r>
    </w:p>
    <w:p>
      <w:pPr>
        <w:pStyle w:val="BodyText"/>
      </w:pPr>
      <w:r>
        <w:t xml:space="preserve">The engagement is specifically tailored to the regulatory, technical, and operational landscape of</w:t>
      </w:r>
      <w:r>
        <w:t xml:space="preserve"> </w:t>
      </w:r>
      <w:r>
        <w:t xml:space="preserve">Israel Tel Aviv</w:t>
      </w:r>
      <w:r>
        <w:t xml:space="preserve">, ensuring full compliance with the Israel National Cyber Directorate (INCD) guidelines, the Israeli Privacy Protection Law, and all applicable telecommunications regulations enforced by the Israel Communications Authority. The</w:t>
      </w:r>
      <w:r>
        <w:t xml:space="preserve"> </w:t>
      </w:r>
      <w:r>
        <w:t xml:space="preserve">Systems Engineer</w:t>
      </w:r>
      <w:r>
        <w:t xml:space="preserve"> </w:t>
      </w:r>
      <w:r>
        <w:t xml:space="preserve">will operate primarily from the client's premises in central</w:t>
      </w:r>
      <w:r>
        <w:t xml:space="preserve"> </w:t>
      </w:r>
      <w:r>
        <w:t xml:space="preserve">Israel Tel Aviv</w:t>
      </w:r>
      <w:r>
        <w:t xml:space="preserve">, with remote support availability as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 Systems Engineer – Enterprise Infrastructure Design &amp; Architecture (on-site, Israel Tel Aviv)</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Systems Engineer – Server Deployment, Configuration &amp; OS Hardening (Windows Server 2022 / RHEL 9)</w:t>
            </w:r>
          </w:p>
        </w:tc>
        <w:tc>
          <w:tcPr/>
          <w:p>
            <w:pPr>
              <w:pStyle w:val="Compact"/>
              <w:jc w:val="left"/>
            </w:pPr>
            <w:r>
              <w:t xml:space="preserve">80 hours</w:t>
            </w:r>
          </w:p>
        </w:tc>
        <w:tc>
          <w:tcPr/>
          <w:p>
            <w:pPr>
              <w:pStyle w:val="Compact"/>
              <w:jc w:val="left"/>
            </w:pPr>
            <w:r>
              <w:t xml:space="preserve">1,750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Systems Engineer – Network Infrastructure Setup &amp; VLAN Segmentation (Israel Tel Aviv data center)</w:t>
            </w:r>
          </w:p>
        </w:tc>
        <w:tc>
          <w:tcPr/>
          <w:p>
            <w:pPr>
              <w:pStyle w:val="Compact"/>
              <w:jc w:val="left"/>
            </w:pPr>
            <w:r>
              <w:t xml:space="preserve">60 hours</w:t>
            </w:r>
          </w:p>
        </w:tc>
        <w:tc>
          <w:tcPr/>
          <w:p>
            <w:pPr>
              <w:pStyle w:val="Compact"/>
              <w:jc w:val="left"/>
            </w:pPr>
            <w:r>
              <w:t xml:space="preserve">1,750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Systems Engineer – Cloud Hybrid Integration (AWS / Azure) &amp; Hybrid Connectivity</w:t>
            </w:r>
          </w:p>
        </w:tc>
        <w:tc>
          <w:tcPr/>
          <w:p>
            <w:pPr>
              <w:pStyle w:val="Compact"/>
              <w:jc w:val="left"/>
            </w:pPr>
            <w:r>
              <w:t xml:space="preserve">50 hours</w:t>
            </w:r>
          </w:p>
        </w:tc>
        <w:tc>
          <w:tcPr/>
          <w:p>
            <w:pPr>
              <w:pStyle w:val="Compact"/>
              <w:jc w:val="left"/>
            </w:pPr>
            <w:r>
              <w:t xml:space="preserve">1,900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Systems Engineer – Disaster Recovery Planning &amp; Business Continuity Implementation</w:t>
            </w:r>
          </w:p>
        </w:tc>
        <w:tc>
          <w:tcPr/>
          <w:p>
            <w:pPr>
              <w:pStyle w:val="Compact"/>
              <w:jc w:val="left"/>
            </w:pPr>
            <w:r>
              <w:t xml:space="preserve">40 hours</w:t>
            </w:r>
          </w:p>
        </w:tc>
        <w:tc>
          <w:tcPr/>
          <w:p>
            <w:pPr>
              <w:pStyle w:val="Compact"/>
              <w:jc w:val="left"/>
            </w:pPr>
            <w:r>
              <w:t xml:space="preserve">1,900</w:t>
            </w:r>
          </w:p>
        </w:tc>
        <w:tc>
          <w:tcPr/>
          <w:p>
            <w:pPr>
              <w:pStyle w:val="Compact"/>
              <w:jc w:val="left"/>
            </w:pPr>
            <w:r>
              <w:t xml:space="preserve">76,000</w:t>
            </w:r>
          </w:p>
        </w:tc>
      </w:tr>
      <w:tr>
        <w:tc>
          <w:tcPr/>
          <w:p>
            <w:pPr>
              <w:pStyle w:val="Compact"/>
              <w:jc w:val="left"/>
            </w:pPr>
            <w:r>
              <w:t xml:space="preserve">6</w:t>
            </w:r>
          </w:p>
        </w:tc>
        <w:tc>
          <w:tcPr/>
          <w:p>
            <w:pPr>
              <w:pStyle w:val="Compact"/>
              <w:jc w:val="left"/>
            </w:pPr>
            <w:r>
              <w:t xml:space="preserve">Systems Engineer – Security Auditing, INCD Compliance &amp; Penetration Testing Coordination</w:t>
            </w:r>
          </w:p>
        </w:tc>
        <w:tc>
          <w:tcPr/>
          <w:p>
            <w:pPr>
              <w:pStyle w:val="Compact"/>
              <w:jc w:val="left"/>
            </w:pPr>
            <w:r>
              <w:t xml:space="preserve">30 hours</w:t>
            </w:r>
          </w:p>
        </w:tc>
        <w:tc>
          <w:tcPr/>
          <w:p>
            <w:pPr>
              <w:pStyle w:val="Compact"/>
              <w:jc w:val="left"/>
            </w:pPr>
            <w:r>
              <w:t xml:space="preserve">2,000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Systems Engineer – Ongoing Monitoring, Patch Management &amp; Technical Support (monthly retainer, 6 months)</w:t>
            </w:r>
          </w:p>
        </w:tc>
        <w:tc>
          <w:tcPr/>
          <w:p>
            <w:pPr>
              <w:pStyle w:val="Compact"/>
              <w:jc w:val="left"/>
            </w:pPr>
            <w:r>
              <w:t xml:space="preserve">6 months</w:t>
            </w:r>
          </w:p>
        </w:tc>
        <w:tc>
          <w:tcPr/>
          <w:p>
            <w:pPr>
              <w:pStyle w:val="Compact"/>
              <w:jc w:val="left"/>
            </w:pPr>
            <w:r>
              <w:t xml:space="preserve">18,500/mo</w:t>
            </w:r>
          </w:p>
        </w:tc>
        <w:tc>
          <w:tcPr/>
          <w:p>
            <w:pPr>
              <w:pStyle w:val="Compact"/>
              <w:jc w:val="left"/>
            </w:pPr>
            <w:r>
              <w:t xml:space="preserve">111,000</w:t>
            </w:r>
          </w:p>
        </w:tc>
      </w:tr>
      <w:tr>
        <w:tc>
          <w:tcPr/>
          <w:p>
            <w:pPr>
              <w:pStyle w:val="Compact"/>
              <w:jc w:val="left"/>
            </w:pPr>
            <w:r>
              <w:t xml:space="preserve">8</w:t>
            </w:r>
          </w:p>
        </w:tc>
        <w:tc>
          <w:tcPr/>
          <w:p>
            <w:pPr>
              <w:pStyle w:val="Compact"/>
              <w:jc w:val="left"/>
            </w:pPr>
            <w:r>
              <w:t xml:space="preserve">Documentation, Knowledge Transfer &amp; Final Handover Report (Israel Tel Aviv site)</w:t>
            </w:r>
          </w:p>
        </w:tc>
        <w:tc>
          <w:tcPr/>
          <w:p>
            <w:pPr>
              <w:pStyle w:val="Compact"/>
              <w:jc w:val="left"/>
            </w:pPr>
            <w:r>
              <w:t xml:space="preserve">16 hours</w:t>
            </w:r>
          </w:p>
        </w:tc>
        <w:tc>
          <w:tcPr/>
          <w:p>
            <w:pPr>
              <w:pStyle w:val="Compact"/>
              <w:jc w:val="left"/>
            </w:pPr>
            <w:r>
              <w:t xml:space="preserve">1,600</w:t>
            </w:r>
          </w:p>
        </w:tc>
        <w:tc>
          <w:tcPr/>
          <w:p>
            <w:pPr>
              <w:pStyle w:val="Compact"/>
              <w:jc w:val="left"/>
            </w:pPr>
            <w:r>
              <w:t xml:space="preserve">25,600</w:t>
            </w:r>
          </w:p>
        </w:tc>
      </w:tr>
      <w:tr>
        <w:tc>
          <w:tcPr>
            <w:gridSpan w:val="4"/>
          </w:tcPr>
          <w:p>
            <w:pPr>
              <w:pStyle w:val="Compact"/>
              <w:jc w:val="left"/>
            </w:pPr>
            <w:r>
              <w:rPr>
                <w:bCs/>
                <w:b/>
              </w:rPr>
              <w:t xml:space="preserve">Subtotal (excl. VAT)</w:t>
            </w:r>
          </w:p>
        </w:tc>
        <w:tc>
          <w:tcPr/>
          <w:p>
            <w:pPr>
              <w:pStyle w:val="Compact"/>
              <w:jc w:val="left"/>
            </w:pPr>
            <w:r>
              <w:rPr>
                <w:bCs/>
                <w:b/>
              </w:rPr>
              <w:t xml:space="preserve">834,600</w:t>
            </w:r>
          </w:p>
        </w:tc>
      </w:tr>
      <w:tr>
        <w:tc>
          <w:tcPr>
            <w:gridSpan w:val="4"/>
          </w:tcPr>
          <w:p>
            <w:pPr>
              <w:pStyle w:val="Compact"/>
              <w:jc w:val="left"/>
            </w:pPr>
            <w:r>
              <w:rPr>
                <w:bCs/>
                <w:b/>
              </w:rPr>
              <w:t xml:space="preserve">VAT (18%)</w:t>
            </w:r>
          </w:p>
        </w:tc>
        <w:tc>
          <w:tcPr/>
          <w:p>
            <w:pPr>
              <w:pStyle w:val="Compact"/>
              <w:jc w:val="left"/>
            </w:pPr>
            <w:r>
              <w:rPr>
                <w:bCs/>
                <w:b/>
              </w:rPr>
              <w:t xml:space="preserve">150,228</w:t>
            </w:r>
          </w:p>
        </w:tc>
      </w:tr>
      <w:tr>
        <w:tc>
          <w:tcPr>
            <w:gridSpan w:val="4"/>
          </w:tcPr>
          <w:p>
            <w:pPr>
              <w:pStyle w:val="Compact"/>
              <w:jc w:val="left"/>
            </w:pPr>
            <w:r>
              <w:rPr>
                <w:bCs/>
                <w:b/>
              </w:rPr>
              <w:t xml:space="preserve">Grand Total (incl. VAT)</w:t>
            </w:r>
          </w:p>
        </w:tc>
        <w:tc>
          <w:tcPr/>
          <w:p>
            <w:pPr>
              <w:pStyle w:val="Compact"/>
              <w:jc w:val="left"/>
            </w:pPr>
            <w:r>
              <w:rPr>
                <w:bCs/>
                <w:b/>
              </w:rPr>
              <w:t xml:space="preserve">984,828 ILS</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Israel Tel Aviv.</w:t>
      </w:r>
    </w:p>
    <w:p>
      <w:pPr>
        <w:numPr>
          <w:ilvl w:val="0"/>
          <w:numId w:val="1001"/>
        </w:numPr>
        <w:pStyle w:val="Compact"/>
      </w:pPr>
      <w:r>
        <w:rPr>
          <w:bCs/>
          <w:b/>
        </w:rPr>
        <w:t xml:space="preserve">Payment Schedule:</w:t>
      </w:r>
      <w:r>
        <w:t xml:space="preserve"> </w:t>
      </w:r>
      <w:r>
        <w:t xml:space="preserve">30% advance payment upon acceptance of this Quotation Estimate; 40% upon completion of the primary Systems Engineer deployment phase; 30% upon final acceptance and handover. All payments are due within fourteen (14) business days of invoice date.</w:t>
      </w:r>
    </w:p>
    <w:p>
      <w:pPr>
        <w:numPr>
          <w:ilvl w:val="0"/>
          <w:numId w:val="1001"/>
        </w:numPr>
        <w:pStyle w:val="Compact"/>
      </w:pPr>
      <w:r>
        <w:rPr>
          <w:bCs/>
          <w:b/>
        </w:rPr>
        <w:t xml:space="preserve">Currency:</w:t>
      </w:r>
      <w:r>
        <w:t xml:space="preserve"> </w:t>
      </w:r>
      <w:r>
        <w:t xml:space="preserve">All amounts in this Quotation Estimate are denominated in Israeli New Shekels (ILS). No foreign currency conversion fees apply as all services are delivered within Israel Tel Aviv.</w:t>
      </w:r>
    </w:p>
    <w:p>
      <w:pPr>
        <w:numPr>
          <w:ilvl w:val="0"/>
          <w:numId w:val="1001"/>
        </w:numPr>
        <w:pStyle w:val="Compact"/>
      </w:pPr>
      <w:r>
        <w:rPr>
          <w:bCs/>
          <w:b/>
        </w:rPr>
        <w:t xml:space="preserve">Working Hours:</w:t>
      </w:r>
      <w:r>
        <w:t xml:space="preserve"> </w:t>
      </w:r>
      <w:r>
        <w:t xml:space="preserve">The Systems Engineer will operate during standard business hours (08:00–17:00, Sunday–Thursday) in accordance with Israeli labor law. Overtime or weekend work in Israel Tel Aviv will be billed at 1.5x the standard hourly rate.</w:t>
      </w:r>
    </w:p>
    <w:p>
      <w:pPr>
        <w:numPr>
          <w:ilvl w:val="0"/>
          <w:numId w:val="1001"/>
        </w:numPr>
        <w:pStyle w:val="Compact"/>
      </w:pPr>
      <w:r>
        <w:rPr>
          <w:bCs/>
          <w:b/>
        </w:rPr>
        <w:t xml:space="preserve">Travel &amp; Expenses:</w:t>
      </w:r>
      <w:r>
        <w:t xml:space="preserve"> </w:t>
      </w:r>
      <w:r>
        <w:t xml:space="preserve">All travel within the Tel Aviv-Yafo municipality is included. Travel to other locations within Israel will be billed at actual cost with prior written approval.</w:t>
      </w:r>
    </w:p>
    <w:p>
      <w:pPr>
        <w:numPr>
          <w:ilvl w:val="0"/>
          <w:numId w:val="1001"/>
        </w:numPr>
        <w:pStyle w:val="Compact"/>
      </w:pPr>
      <w:r>
        <w:rPr>
          <w:bCs/>
          <w:b/>
        </w:rPr>
        <w:t xml:space="preserve">Confidentiality:</w:t>
      </w:r>
      <w:r>
        <w:t xml:space="preserve"> </w:t>
      </w:r>
      <w:r>
        <w:t xml:space="preserve">The Systems Engineer and all Meridian personnel are bound by a mutual Non-Disclosure Agreement (NDA) in compliance with Israeli law. All client data processed in Israel Tel Aviv will remain within Israeli borders unless otherwise agreed in writing.</w:t>
      </w:r>
    </w:p>
    <w:p>
      <w:pPr>
        <w:numPr>
          <w:ilvl w:val="0"/>
          <w:numId w:val="1001"/>
        </w:numPr>
        <w:pStyle w:val="Compact"/>
      </w:pPr>
      <w:r>
        <w:rPr>
          <w:bCs/>
          <w:b/>
        </w:rPr>
        <w:t xml:space="preserve">Warranty:</w:t>
      </w:r>
      <w:r>
        <w:t xml:space="preserve"> </w:t>
      </w:r>
      <w:r>
        <w:t xml:space="preserve">A ninety (90) day warranty period applies to all Systems Engineer deliverables from the date of final acceptance. Defects identified within this period will be corrected at no additional charge.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national security alerts, government-mandated shutdowns, or natural disasters affecting the Israel Tel Aviv region.</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State of Israel. Disputes shall be resolved by the competent courts in Tel Aviv, Israel.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pricing, and scope of work related to the</w:t>
      </w:r>
      <w:r>
        <w:t xml:space="preserve"> </w:t>
      </w:r>
      <w:r>
        <w:t xml:space="preserve">Systems Engineer</w:t>
      </w:r>
      <w:r>
        <w:t xml:space="preserve"> </w:t>
      </w:r>
      <w:r>
        <w:t xml:space="preserve">engagement in</w:t>
      </w:r>
      <w:r>
        <w:t xml:space="preserve"> </w:t>
      </w:r>
      <w:r>
        <w:t xml:space="preserve">Israel Tel Aviv</w:t>
      </w:r>
      <w:r>
        <w:t xml:space="preserve">. This signature constitutes a binding agreement for the services described herein.</w:t>
      </w:r>
    </w:p>
    <w:p>
      <w:pPr>
        <w:pStyle w:val="BodyText"/>
      </w:pPr>
      <w:r>
        <w:rPr>
          <w:bCs/>
          <w:b/>
        </w:rPr>
        <w:t xml:space="preserve">For Meridian Technical Solutions Ltd. (Provider)</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Negev Digital Infrastructure Group Ltd. (Client)</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QTE-2025-TLV-0847 | Meridian Technical Solutions Ltd. | Israel Tel Aviv | Page 1 of 1</w:t>
      </w:r>
    </w:p>
    <w:p>
      <w:pPr>
        <w:pStyle w:val="BodyText"/>
      </w:pPr>
      <w:r>
        <w:t xml:space="preserve">This document is a formal Quotation Estimate and does not constitute a contract until signed by both parties.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Israel Tel Aviv</dc:title>
  <dc:creator/>
  <dc:language>en</dc:language>
  <cp:keywords/>
  <dcterms:created xsi:type="dcterms:W3CDTF">2026-10-10T04:10:56Z</dcterms:created>
  <dcterms:modified xsi:type="dcterms:W3CDTF">2026-10-10T04:10:56Z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