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Italy</w:t>
      </w:r>
      <w:r>
        <w:t xml:space="preserve"> </w:t>
      </w:r>
      <w:r>
        <w:t xml:space="preserve">Milan</w:t>
      </w:r>
    </w:p>
    <w:bookmarkStart w:id="20" w:name="quotation-estimate"/>
    <w:p>
      <w:pPr>
        <w:pStyle w:val="Heading1"/>
      </w:pPr>
      <w:r>
        <w:t xml:space="preserve">Quotation Estimate</w:t>
      </w:r>
    </w:p>
    <w:p>
      <w:pPr>
        <w:pStyle w:val="FirstParagraph"/>
      </w:pPr>
      <w:r>
        <w:t xml:space="preserve">Professional Services – Systems Engineer Deployment</w:t>
      </w:r>
    </w:p>
    <w:p>
      <w:pPr>
        <w:pStyle w:val="BodyText"/>
      </w:pPr>
      <w:r>
        <w:t xml:space="preserve">Location: Italy Milan | Reference No. QTE-2025-0847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Date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For</w:t>
            </w:r>
          </w:p>
        </w:tc>
        <w:tc>
          <w:tcPr/>
          <w:p>
            <w:pPr>
              <w:pStyle w:val="Compact"/>
              <w:jc w:val="left"/>
            </w:pPr>
            <w:r>
              <w:t xml:space="preserve">Client Name / Company (Italy Milan)</w:t>
            </w:r>
          </w:p>
        </w:tc>
      </w:tr>
      <w:tr>
        <w:tc>
          <w:tcPr/>
          <w:p>
            <w:pPr>
              <w:pStyle w:val="Compact"/>
              <w:jc w:val="left"/>
            </w:pPr>
            <w:r>
              <w:t xml:space="preserve">Prepared By</w:t>
            </w:r>
          </w:p>
        </w:tc>
        <w:tc>
          <w:tcPr/>
          <w:p>
            <w:pPr>
              <w:pStyle w:val="Compact"/>
              <w:jc w:val="left"/>
            </w:pPr>
            <w:r>
              <w:t xml:space="preserve">TechConsult Solutions S.r.l. – Office: Via Torino 25, 20123 Milan, Italy</w:t>
            </w:r>
          </w:p>
        </w:tc>
      </w:tr>
      <w:tr>
        <w:tc>
          <w:tcPr/>
          <w:p>
            <w:pPr>
              <w:pStyle w:val="Compact"/>
              <w:jc w:val="left"/>
            </w:pPr>
            <w:r>
              <w:t xml:space="preserve">Project Title</w:t>
            </w:r>
          </w:p>
        </w:tc>
        <w:tc>
          <w:tcPr/>
          <w:p>
            <w:pPr>
              <w:pStyle w:val="Compact"/>
              <w:jc w:val="left"/>
            </w:pPr>
            <w:r>
              <w:t xml:space="preserve">Systems Engineer Engagement – Infrastructure Design, Implementation &amp; Support</w:t>
            </w:r>
          </w:p>
        </w:tc>
      </w:tr>
      <w:tr>
        <w:tc>
          <w:tcPr/>
          <w:p>
            <w:pPr>
              <w:pStyle w:val="Compact"/>
              <w:jc w:val="left"/>
            </w:pPr>
            <w:r>
              <w:t xml:space="preserve">Currency</w:t>
            </w:r>
          </w:p>
        </w:tc>
        <w:tc>
          <w:tcPr/>
          <w:p>
            <w:pPr>
              <w:pStyle w:val="Compact"/>
              <w:jc w:val="left"/>
            </w:pPr>
            <w:r>
              <w:t xml:space="preserve">Euro (EUR)</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TechConsult Solutions S.r.l. to formally outline the scope, deliverables, timeline, and associated costs for the engagement of a senior</w:t>
      </w:r>
      <w:r>
        <w:t xml:space="preserve"> </w:t>
      </w:r>
      <w:r>
        <w:t xml:space="preserve">Systems Engineer</w:t>
      </w:r>
      <w:r>
        <w:t xml:space="preserve"> </w:t>
      </w:r>
      <w:r>
        <w:t xml:space="preserve">to be deployed at the client's operational site in</w:t>
      </w:r>
      <w:r>
        <w:t xml:space="preserve"> </w:t>
      </w:r>
      <w:r>
        <w:t xml:space="preserve">Italy Milan</w:t>
      </w:r>
      <w:r>
        <w:t xml:space="preserve">. This document serves as a binding financial proposal and a comprehensive statement of work. All figures presented herein are exclusive of Italian Value Added Tax (IVA 22%), which will be applied at the point of invoicing in accordance with the regulations of the Agenzia delle Entrate.</w:t>
      </w:r>
    </w:p>
    <w:p>
      <w:pPr>
        <w:pStyle w:val="BodyText"/>
      </w:pPr>
      <w:r>
        <w:t xml:space="preserve">The</w:t>
      </w:r>
      <w:r>
        <w:t xml:space="preserve"> </w:t>
      </w:r>
      <w:r>
        <w:t xml:space="preserve">Systems Engineer</w:t>
      </w:r>
      <w:r>
        <w:t xml:space="preserve"> </w:t>
      </w:r>
      <w:r>
        <w:t xml:space="preserve">proposed for this engagement holds a minimum of twelve years of professional experience in enterprise infrastructure architecture, network design, server virtualization, and cloud migration. The candidate is fully fluent in both English and Italian, ensuring seamless communication with local stakeholders, municipal authorities in Milan, and international project teams as required.</w:t>
      </w:r>
    </w:p>
    <w:bookmarkEnd w:id="21"/>
    <w:bookmarkStart w:id="22" w:name="scope-of-work"/>
    <w:p>
      <w:pPr>
        <w:pStyle w:val="Heading2"/>
      </w:pPr>
      <w:r>
        <w:t xml:space="preserve">2. Scope of Work</w:t>
      </w:r>
    </w:p>
    <w:p>
      <w:pPr>
        <w:pStyle w:val="FirstParagraph"/>
      </w:pPr>
      <w:r>
        <w:t xml:space="preserve">The</w:t>
      </w:r>
      <w:r>
        <w:t xml:space="preserve"> </w:t>
      </w:r>
      <w:r>
        <w:t xml:space="preserve">Systems Engineer</w:t>
      </w:r>
      <w:r>
        <w:t xml:space="preserve"> </w:t>
      </w:r>
      <w:r>
        <w:t xml:space="preserve">will be responsible for the following activities during the engagement period in</w:t>
      </w:r>
      <w:r>
        <w:t xml:space="preserve"> </w:t>
      </w:r>
      <w:r>
        <w:t xml:space="preserve">Italy Milan</w:t>
      </w:r>
      <w:r>
        <w:t xml:space="preserve">:</w:t>
      </w:r>
    </w:p>
    <w:p>
      <w:pPr>
        <w:numPr>
          <w:ilvl w:val="0"/>
          <w:numId w:val="1001"/>
        </w:numPr>
        <w:pStyle w:val="Compact"/>
      </w:pPr>
      <w:r>
        <w:rPr>
          <w:bCs/>
          <w:b/>
        </w:rPr>
        <w:t xml:space="preserve">Infrastructure Assessment:</w:t>
      </w:r>
      <w:r>
        <w:t xml:space="preserve"> </w:t>
      </w:r>
      <w:r>
        <w:t xml:space="preserve">Comprehensive audit of the existing IT infrastructure at the client's Milan headquarters, including server rooms, network topology, storage systems, and security perimeters.</w:t>
      </w:r>
    </w:p>
    <w:p>
      <w:pPr>
        <w:numPr>
          <w:ilvl w:val="0"/>
          <w:numId w:val="1001"/>
        </w:numPr>
        <w:pStyle w:val="Compact"/>
      </w:pPr>
      <w:r>
        <w:rPr>
          <w:bCs/>
          <w:b/>
        </w:rPr>
        <w:t xml:space="preserve">Architecture Design:</w:t>
      </w:r>
      <w:r>
        <w:t xml:space="preserve"> </w:t>
      </w:r>
      <w:r>
        <w:t xml:space="preserve">Development of a scalable, redundant systems architecture aligned with the client's five-year growth strategy, incorporating hybrid cloud solutions (AWS / Azure) with on-premises failover.</w:t>
      </w:r>
    </w:p>
    <w:p>
      <w:pPr>
        <w:numPr>
          <w:ilvl w:val="0"/>
          <w:numId w:val="1001"/>
        </w:numPr>
        <w:pStyle w:val="Compact"/>
      </w:pPr>
      <w:r>
        <w:rPr>
          <w:bCs/>
          <w:b/>
        </w:rPr>
        <w:t xml:space="preserve">Implementation &amp; Migration:</w:t>
      </w:r>
      <w:r>
        <w:t xml:space="preserve"> </w:t>
      </w:r>
      <w:r>
        <w:t xml:space="preserve">Hands-on execution of server virtualization (VMware vSphere / Hyper-V), network reconfiguration (Cisco / Juniper), and data center migration to a Tier III facility in the Milan metropolitan area.</w:t>
      </w:r>
    </w:p>
    <w:p>
      <w:pPr>
        <w:numPr>
          <w:ilvl w:val="0"/>
          <w:numId w:val="1001"/>
        </w:numPr>
        <w:pStyle w:val="Compact"/>
      </w:pPr>
      <w:r>
        <w:rPr>
          <w:bCs/>
          <w:b/>
        </w:rPr>
        <w:t xml:space="preserve">Security Hardening:</w:t>
      </w:r>
      <w:r>
        <w:t xml:space="preserve"> </w:t>
      </w:r>
      <w:r>
        <w:t xml:space="preserve">Implementation of zero-trust network access, endpoint detection and response (EDR), and compliance with GDPR and Italian data protection regulations (Garante per la Protezione dei Dati Personali).</w:t>
      </w:r>
    </w:p>
    <w:p>
      <w:pPr>
        <w:numPr>
          <w:ilvl w:val="0"/>
          <w:numId w:val="1001"/>
        </w:numPr>
        <w:pStyle w:val="Compact"/>
      </w:pPr>
      <w:r>
        <w:rPr>
          <w:bCs/>
          <w:b/>
        </w:rPr>
        <w:t xml:space="preserve">Documentation &amp; Training:</w:t>
      </w:r>
      <w:r>
        <w:t xml:space="preserve"> </w:t>
      </w:r>
      <w:r>
        <w:t xml:space="preserve">Production of full technical documentation in both English and Italian, along with knowledge-transfer sessions for the client's internal IT staff based in Milan.</w:t>
      </w:r>
    </w:p>
    <w:p>
      <w:pPr>
        <w:numPr>
          <w:ilvl w:val="0"/>
          <w:numId w:val="1001"/>
        </w:numPr>
        <w:pStyle w:val="Compact"/>
      </w:pPr>
      <w:r>
        <w:rPr>
          <w:bCs/>
          <w:b/>
        </w:rPr>
        <w:t xml:space="preserve">Ongoing Support:</w:t>
      </w:r>
      <w:r>
        <w:t xml:space="preserve"> </w:t>
      </w:r>
      <w:r>
        <w:t xml:space="preserve">Provision of a 90-day post-implementation support window covering critical incident resolution, performance tuning, and architectural adjustments.</w:t>
      </w:r>
    </w:p>
    <w:bookmarkEnd w:id="22"/>
    <w:bookmarkStart w:id="23" w:name="deliverables-and-milestones"/>
    <w:p>
      <w:pPr>
        <w:pStyle w:val="Heading2"/>
      </w:pPr>
      <w:r>
        <w:t xml:space="preserve">3. Deliverables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Description</w:t>
            </w:r>
          </w:p>
        </w:tc>
        <w:tc>
          <w:tcPr/>
          <w:p>
            <w:pPr>
              <w:pStyle w:val="Compact"/>
              <w:jc w:val="left"/>
            </w:pPr>
            <w:r>
              <w:t xml:space="preserve">Target Date</w:t>
            </w:r>
          </w:p>
        </w:tc>
      </w:tr>
      <w:tr>
        <w:tc>
          <w:tcPr/>
          <w:p>
            <w:pPr>
              <w:pStyle w:val="Compact"/>
              <w:jc w:val="left"/>
            </w:pPr>
            <w:r>
              <w:t xml:space="preserve">M1</w:t>
            </w:r>
          </w:p>
        </w:tc>
        <w:tc>
          <w:tcPr/>
          <w:p>
            <w:pPr>
              <w:pStyle w:val="Compact"/>
              <w:jc w:val="left"/>
            </w:pPr>
            <w:r>
              <w:t xml:space="preserve">Completion of Infrastructure Assessment Report</w:t>
            </w:r>
          </w:p>
        </w:tc>
        <w:tc>
          <w:tcPr/>
          <w:p>
            <w:pPr>
              <w:pStyle w:val="Compact"/>
              <w:jc w:val="left"/>
            </w:pPr>
            <w:r>
              <w:t xml:space="preserve">Week 3</w:t>
            </w:r>
          </w:p>
        </w:tc>
      </w:tr>
      <w:tr>
        <w:tc>
          <w:tcPr/>
          <w:p>
            <w:pPr>
              <w:pStyle w:val="Compact"/>
              <w:jc w:val="left"/>
            </w:pPr>
            <w:r>
              <w:t xml:space="preserve">M2</w:t>
            </w:r>
          </w:p>
        </w:tc>
        <w:tc>
          <w:tcPr/>
          <w:p>
            <w:pPr>
              <w:pStyle w:val="Compact"/>
              <w:jc w:val="left"/>
            </w:pPr>
            <w:r>
              <w:t xml:space="preserve">Approval of Target Architecture Design Document</w:t>
            </w:r>
          </w:p>
        </w:tc>
        <w:tc>
          <w:tcPr/>
          <w:p>
            <w:pPr>
              <w:pStyle w:val="Compact"/>
              <w:jc w:val="left"/>
            </w:pPr>
            <w:r>
              <w:t xml:space="preserve">Week 6</w:t>
            </w:r>
          </w:p>
        </w:tc>
      </w:tr>
      <w:tr>
        <w:tc>
          <w:tcPr/>
          <w:p>
            <w:pPr>
              <w:pStyle w:val="Compact"/>
              <w:jc w:val="left"/>
            </w:pPr>
            <w:r>
              <w:t xml:space="preserve">M3</w:t>
            </w:r>
          </w:p>
        </w:tc>
        <w:tc>
          <w:tcPr/>
          <w:p>
            <w:pPr>
              <w:pStyle w:val="Compact"/>
              <w:jc w:val="left"/>
            </w:pPr>
            <w:r>
              <w:t xml:space="preserve">Completion of Migration &amp; Implementation Phase</w:t>
            </w:r>
          </w:p>
        </w:tc>
        <w:tc>
          <w:tcPr/>
          <w:p>
            <w:pPr>
              <w:pStyle w:val="Compact"/>
              <w:jc w:val="left"/>
            </w:pPr>
            <w:r>
              <w:t xml:space="preserve">Week 14</w:t>
            </w:r>
          </w:p>
        </w:tc>
      </w:tr>
      <w:tr>
        <w:tc>
          <w:tcPr/>
          <w:p>
            <w:pPr>
              <w:pStyle w:val="Compact"/>
              <w:jc w:val="left"/>
            </w:pPr>
            <w:r>
              <w:t xml:space="preserve">M4</w:t>
            </w:r>
          </w:p>
        </w:tc>
        <w:tc>
          <w:tcPr/>
          <w:p>
            <w:pPr>
              <w:pStyle w:val="Compact"/>
              <w:jc w:val="left"/>
            </w:pPr>
            <w:r>
              <w:t xml:space="preserve">Security Hardening &amp; Compliance Validation</w:t>
            </w:r>
          </w:p>
        </w:tc>
        <w:tc>
          <w:tcPr/>
          <w:p>
            <w:pPr>
              <w:pStyle w:val="Compact"/>
              <w:jc w:val="left"/>
            </w:pPr>
            <w:r>
              <w:t xml:space="preserve">Week 18</w:t>
            </w:r>
          </w:p>
        </w:tc>
      </w:tr>
      <w:tr>
        <w:tc>
          <w:tcPr/>
          <w:p>
            <w:pPr>
              <w:pStyle w:val="Compact"/>
              <w:jc w:val="left"/>
            </w:pPr>
            <w:r>
              <w:t xml:space="preserve">M5</w:t>
            </w:r>
          </w:p>
        </w:tc>
        <w:tc>
          <w:tcPr/>
          <w:p>
            <w:pPr>
              <w:pStyle w:val="Compact"/>
              <w:jc w:val="left"/>
            </w:pPr>
            <w:r>
              <w:t xml:space="preserve">Final Documentation, Training &amp; Handover</w:t>
            </w:r>
          </w:p>
        </w:tc>
        <w:tc>
          <w:tcPr/>
          <w:p>
            <w:pPr>
              <w:pStyle w:val="Compact"/>
              <w:jc w:val="left"/>
            </w:pPr>
            <w:r>
              <w:t xml:space="preserve">Week 20</w:t>
            </w:r>
          </w:p>
        </w:tc>
      </w:tr>
      <w:tr>
        <w:tc>
          <w:tcPr/>
          <w:p>
            <w:pPr>
              <w:pStyle w:val="Compact"/>
              <w:jc w:val="left"/>
            </w:pPr>
            <w:r>
              <w:t xml:space="preserve">M6</w:t>
            </w:r>
          </w:p>
        </w:tc>
        <w:tc>
          <w:tcPr/>
          <w:p>
            <w:pPr>
              <w:pStyle w:val="Compact"/>
              <w:jc w:val="left"/>
            </w:pPr>
            <w:r>
              <w:t xml:space="preserve">End of 90-Day Support Window</w:t>
            </w:r>
          </w:p>
        </w:tc>
        <w:tc>
          <w:tcPr/>
          <w:p>
            <w:pPr>
              <w:pStyle w:val="Compact"/>
              <w:jc w:val="left"/>
            </w:pPr>
            <w:r>
              <w:t xml:space="preserve">Week 33</w:t>
            </w:r>
          </w:p>
        </w:tc>
      </w:tr>
    </w:tbl>
    <w:bookmarkEnd w:id="23"/>
    <w:bookmarkStart w:id="24" w:name="financial-breakdown"/>
    <w:p>
      <w:pPr>
        <w:pStyle w:val="Heading2"/>
      </w:pPr>
      <w:r>
        <w:t xml:space="preserve">4. Financial Breakdown</w:t>
      </w:r>
    </w:p>
    <w:p>
      <w:pPr>
        <w:pStyle w:val="FirstParagraph"/>
      </w:pPr>
      <w:r>
        <w:t xml:space="preserve">The following</w:t>
      </w:r>
      <w:r>
        <w:t xml:space="preserve"> </w:t>
      </w:r>
      <w:r>
        <w:t xml:space="preserve">Quotation Estimate</w:t>
      </w:r>
      <w:r>
        <w:t xml:space="preserve"> </w:t>
      </w:r>
      <w:r>
        <w:t xml:space="preserve">details all costs associated with the</w:t>
      </w:r>
      <w:r>
        <w:t xml:space="preserve"> </w:t>
      </w:r>
      <w:r>
        <w:t xml:space="preserve">Systems Engineer</w:t>
      </w:r>
      <w:r>
        <w:t xml:space="preserve"> </w:t>
      </w:r>
      <w:r>
        <w:t xml:space="preserve">engagement in</w:t>
      </w:r>
      <w:r>
        <w:t xml:space="preserve"> </w:t>
      </w:r>
      <w:r>
        <w:t xml:space="preserve">Italy Milan</w:t>
      </w:r>
      <w:r>
        <w:t xml:space="preserve">. Rates reflect the prevailing market standards for senior technical professionals operating within the Lombardy region.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Unit</w:t>
            </w:r>
          </w:p>
        </w:tc>
        <w:tc>
          <w:tcPr/>
          <w:p>
            <w:pPr>
              <w:pStyle w:val="Compact"/>
              <w:jc w:val="left"/>
            </w:pPr>
            <w:r>
              <w:t xml:space="preserve">Rate (EUR)</w:t>
            </w:r>
          </w:p>
        </w:tc>
        <w:tc>
          <w:tcPr/>
          <w:p>
            <w:pPr>
              <w:pStyle w:val="Compact"/>
              <w:jc w:val="left"/>
            </w:pPr>
            <w:r>
              <w:t xml:space="preserve">Quantity</w:t>
            </w:r>
          </w:p>
        </w:tc>
        <w:tc>
          <w:tcPr/>
          <w:p>
            <w:pPr>
              <w:pStyle w:val="Compact"/>
              <w:jc w:val="left"/>
            </w:pPr>
            <w:r>
              <w:t xml:space="preserve">Amount (EUR)</w:t>
            </w:r>
          </w:p>
        </w:tc>
      </w:tr>
      <w:tr>
        <w:tc>
          <w:tcPr/>
          <w:p>
            <w:pPr>
              <w:pStyle w:val="Compact"/>
              <w:jc w:val="left"/>
            </w:pPr>
            <w:r>
              <w:t xml:space="preserve">Systems Engineer – Professional Fee (Assessment &amp; Design)</w:t>
            </w:r>
          </w:p>
        </w:tc>
        <w:tc>
          <w:tcPr/>
          <w:p>
            <w:pPr>
              <w:pStyle w:val="Compact"/>
              <w:jc w:val="left"/>
            </w:pPr>
            <w:r>
              <w:t xml:space="preserve">Hour</w:t>
            </w:r>
          </w:p>
        </w:tc>
        <w:tc>
          <w:tcPr/>
          <w:p>
            <w:pPr>
              <w:pStyle w:val="Compact"/>
              <w:jc w:val="left"/>
            </w:pPr>
            <w:r>
              <w:t xml:space="preserve">145.00</w:t>
            </w:r>
          </w:p>
        </w:tc>
        <w:tc>
          <w:tcPr/>
          <w:p>
            <w:pPr>
              <w:pStyle w:val="Compact"/>
              <w:jc w:val="left"/>
            </w:pPr>
            <w:r>
              <w:t xml:space="preserve">120</w:t>
            </w:r>
          </w:p>
        </w:tc>
        <w:tc>
          <w:tcPr/>
          <w:p>
            <w:pPr>
              <w:pStyle w:val="Compact"/>
              <w:jc w:val="left"/>
            </w:pPr>
            <w:r>
              <w:t xml:space="preserve">17,400.00</w:t>
            </w:r>
          </w:p>
        </w:tc>
      </w:tr>
      <w:tr>
        <w:tc>
          <w:tcPr/>
          <w:p>
            <w:pPr>
              <w:pStyle w:val="Compact"/>
              <w:jc w:val="left"/>
            </w:pPr>
            <w:r>
              <w:t xml:space="preserve">Systems Engineer – Professional Fee (Implementation &amp; Migration)</w:t>
            </w:r>
          </w:p>
        </w:tc>
        <w:tc>
          <w:tcPr/>
          <w:p>
            <w:pPr>
              <w:pStyle w:val="Compact"/>
              <w:jc w:val="left"/>
            </w:pPr>
            <w:r>
              <w:t xml:space="preserve">Hour</w:t>
            </w:r>
          </w:p>
        </w:tc>
        <w:tc>
          <w:tcPr/>
          <w:p>
            <w:pPr>
              <w:pStyle w:val="Compact"/>
              <w:jc w:val="left"/>
            </w:pPr>
            <w:r>
              <w:t xml:space="preserve">155.00</w:t>
            </w:r>
          </w:p>
        </w:tc>
        <w:tc>
          <w:tcPr/>
          <w:p>
            <w:pPr>
              <w:pStyle w:val="Compact"/>
              <w:jc w:val="left"/>
            </w:pPr>
            <w:r>
              <w:t xml:space="preserve">320</w:t>
            </w:r>
          </w:p>
        </w:tc>
        <w:tc>
          <w:tcPr/>
          <w:p>
            <w:pPr>
              <w:pStyle w:val="Compact"/>
              <w:jc w:val="left"/>
            </w:pPr>
            <w:r>
              <w:t xml:space="preserve">49,600.00</w:t>
            </w:r>
          </w:p>
        </w:tc>
      </w:tr>
      <w:tr>
        <w:tc>
          <w:tcPr/>
          <w:p>
            <w:pPr>
              <w:pStyle w:val="Compact"/>
              <w:jc w:val="left"/>
            </w:pPr>
            <w:r>
              <w:t xml:space="preserve">Systems Engineer – Professional Fee (Security &amp; Compliance)</w:t>
            </w:r>
          </w:p>
        </w:tc>
        <w:tc>
          <w:tcPr/>
          <w:p>
            <w:pPr>
              <w:pStyle w:val="Compact"/>
              <w:jc w:val="left"/>
            </w:pPr>
            <w:r>
              <w:t xml:space="preserve">Hour</w:t>
            </w:r>
          </w:p>
        </w:tc>
        <w:tc>
          <w:tcPr/>
          <w:p>
            <w:pPr>
              <w:pStyle w:val="Compact"/>
              <w:jc w:val="left"/>
            </w:pPr>
            <w:r>
              <w:t xml:space="preserve">155.00</w:t>
            </w:r>
          </w:p>
        </w:tc>
        <w:tc>
          <w:tcPr/>
          <w:p>
            <w:pPr>
              <w:pStyle w:val="Compact"/>
              <w:jc w:val="left"/>
            </w:pPr>
            <w:r>
              <w:t xml:space="preserve">80</w:t>
            </w:r>
          </w:p>
        </w:tc>
        <w:tc>
          <w:tcPr/>
          <w:p>
            <w:pPr>
              <w:pStyle w:val="Compact"/>
              <w:jc w:val="left"/>
            </w:pPr>
            <w:r>
              <w:t xml:space="preserve">12,400.00</w:t>
            </w:r>
          </w:p>
        </w:tc>
      </w:tr>
      <w:tr>
        <w:tc>
          <w:tcPr/>
          <w:p>
            <w:pPr>
              <w:pStyle w:val="Compact"/>
              <w:jc w:val="left"/>
            </w:pPr>
            <w:r>
              <w:t xml:space="preserve">Documentation &amp; Training Sessions (Milan site)</w:t>
            </w:r>
          </w:p>
        </w:tc>
        <w:tc>
          <w:tcPr/>
          <w:p>
            <w:pPr>
              <w:pStyle w:val="Compact"/>
              <w:jc w:val="left"/>
            </w:pPr>
            <w:r>
              <w:t xml:space="preserve">Day</w:t>
            </w:r>
          </w:p>
        </w:tc>
        <w:tc>
          <w:tcPr/>
          <w:p>
            <w:pPr>
              <w:pStyle w:val="Compact"/>
              <w:jc w:val="left"/>
            </w:pPr>
            <w:r>
              <w:t xml:space="preserve">1,200.00</w:t>
            </w:r>
          </w:p>
        </w:tc>
        <w:tc>
          <w:tcPr/>
          <w:p>
            <w:pPr>
              <w:pStyle w:val="Compact"/>
              <w:jc w:val="left"/>
            </w:pPr>
            <w:r>
              <w:t xml:space="preserve">5</w:t>
            </w:r>
          </w:p>
        </w:tc>
        <w:tc>
          <w:tcPr/>
          <w:p>
            <w:pPr>
              <w:pStyle w:val="Compact"/>
              <w:jc w:val="left"/>
            </w:pPr>
            <w:r>
              <w:t xml:space="preserve">6,000.00</w:t>
            </w:r>
          </w:p>
        </w:tc>
      </w:tr>
      <w:tr>
        <w:tc>
          <w:tcPr/>
          <w:p>
            <w:pPr>
              <w:pStyle w:val="Compact"/>
              <w:jc w:val="left"/>
            </w:pPr>
            <w:r>
              <w:t xml:space="preserve">Post-Implementation Support (90 days, on-call)</w:t>
            </w:r>
          </w:p>
        </w:tc>
        <w:tc>
          <w:tcPr/>
          <w:p>
            <w:pPr>
              <w:pStyle w:val="Compact"/>
              <w:jc w:val="left"/>
            </w:pPr>
            <w:r>
              <w:t xml:space="preserve">Month</w:t>
            </w:r>
          </w:p>
        </w:tc>
        <w:tc>
          <w:tcPr/>
          <w:p>
            <w:pPr>
              <w:pStyle w:val="Compact"/>
              <w:jc w:val="left"/>
            </w:pPr>
            <w:r>
              <w:t xml:space="preserve">3,500.00</w:t>
            </w:r>
          </w:p>
        </w:tc>
        <w:tc>
          <w:tcPr/>
          <w:p>
            <w:pPr>
              <w:pStyle w:val="Compact"/>
              <w:jc w:val="left"/>
            </w:pPr>
            <w:r>
              <w:t xml:space="preserve">3</w:t>
            </w:r>
          </w:p>
        </w:tc>
        <w:tc>
          <w:tcPr/>
          <w:p>
            <w:pPr>
              <w:pStyle w:val="Compact"/>
              <w:jc w:val="left"/>
            </w:pPr>
            <w:r>
              <w:t xml:space="preserve">10,500.00</w:t>
            </w:r>
          </w:p>
        </w:tc>
      </w:tr>
      <w:tr>
        <w:tc>
          <w:tcPr/>
          <w:p>
            <w:pPr>
              <w:pStyle w:val="Compact"/>
              <w:jc w:val="left"/>
            </w:pPr>
            <w:r>
              <w:t xml:space="preserve">Travel &amp; Local Accommodation (Milan area)</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1</w:t>
            </w:r>
          </w:p>
        </w:tc>
        <w:tc>
          <w:tcPr/>
          <w:p>
            <w:pPr>
              <w:pStyle w:val="Compact"/>
              <w:jc w:val="left"/>
            </w:pPr>
            <w:r>
              <w:t xml:space="preserve">4,800.00</w:t>
            </w:r>
          </w:p>
        </w:tc>
      </w:tr>
      <w:tr>
        <w:tc>
          <w:tcPr/>
          <w:p>
            <w:pPr>
              <w:pStyle w:val="Compact"/>
              <w:jc w:val="left"/>
            </w:pPr>
            <w:r>
              <w:t xml:space="preserve">Project Management &amp; Coordination</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1</w:t>
            </w:r>
          </w:p>
        </w:tc>
        <w:tc>
          <w:tcPr/>
          <w:p>
            <w:pPr>
              <w:pStyle w:val="Compact"/>
              <w:jc w:val="left"/>
            </w:pPr>
            <w:r>
              <w:t xml:space="preserve">5,300.00</w:t>
            </w:r>
          </w:p>
        </w:tc>
      </w:tr>
      <w:tr>
        <w:tc>
          <w:tcPr>
            <w:gridSpan w:val="4"/>
          </w:tcPr>
          <w:p>
            <w:pPr>
              <w:pStyle w:val="Compact"/>
              <w:jc w:val="left"/>
            </w:pPr>
            <w:r>
              <w:t xml:space="preserve">Subtotal (excl. IVA)</w:t>
            </w:r>
          </w:p>
        </w:tc>
        <w:tc>
          <w:tcPr/>
          <w:p>
            <w:pPr>
              <w:pStyle w:val="Compact"/>
              <w:jc w:val="left"/>
            </w:pPr>
            <w:r>
              <w:t xml:space="preserve">106,000.00</w:t>
            </w:r>
          </w:p>
        </w:tc>
      </w:tr>
      <w:tr>
        <w:tc>
          <w:tcPr>
            <w:gridSpan w:val="4"/>
          </w:tcPr>
          <w:p>
            <w:pPr>
              <w:pStyle w:val="Compact"/>
              <w:jc w:val="left"/>
            </w:pPr>
            <w:r>
              <w:t xml:space="preserve">IVA 22%</w:t>
            </w:r>
          </w:p>
        </w:tc>
        <w:tc>
          <w:tcPr/>
          <w:p>
            <w:pPr>
              <w:pStyle w:val="Compact"/>
              <w:jc w:val="left"/>
            </w:pPr>
            <w:r>
              <w:t xml:space="preserve">23,320.00</w:t>
            </w:r>
          </w:p>
        </w:tc>
      </w:tr>
      <w:tr>
        <w:tc>
          <w:tcPr>
            <w:gridSpan w:val="4"/>
          </w:tcPr>
          <w:p>
            <w:pPr>
              <w:pStyle w:val="Compact"/>
              <w:jc w:val="left"/>
            </w:pPr>
            <w:r>
              <w:t xml:space="preserve">Grand Total (incl. IVA)</w:t>
            </w:r>
          </w:p>
        </w:tc>
        <w:tc>
          <w:tcPr/>
          <w:p>
            <w:pPr>
              <w:pStyle w:val="Compact"/>
              <w:jc w:val="left"/>
            </w:pPr>
            <w:r>
              <w:t xml:space="preserve">129,320.00</w:t>
            </w:r>
          </w:p>
        </w:tc>
      </w:tr>
    </w:tbl>
    <w:bookmarkEnd w:id="24"/>
    <w:bookmarkStart w:id="25" w:name="payment-terms"/>
    <w:p>
      <w:pPr>
        <w:pStyle w:val="Heading2"/>
      </w:pPr>
      <w:r>
        <w:t xml:space="preserve">5. Payment Terms</w:t>
      </w:r>
    </w:p>
    <w:p>
      <w:pPr>
        <w:pStyle w:val="FirstParagraph"/>
      </w:pPr>
      <w:r>
        <w:t xml:space="preserve">Payment shall be structured as follows: 30% upon signature of this</w:t>
      </w:r>
      <w:r>
        <w:t xml:space="preserve"> </w:t>
      </w:r>
      <w:r>
        <w:t xml:space="preserve">Quotation Estimate</w:t>
      </w:r>
      <w:r>
        <w:t xml:space="preserve"> </w:t>
      </w:r>
      <w:r>
        <w:t xml:space="preserve">and execution of the master service agreement; 40% upon completion of Milestone M3 (Implementation &amp; Migration); and the remaining 30% upon successful closure of the 90-day support window. All invoices are payable within 30 days of receipt via bank transfer to the account of TechConsult Solutions S.r.l., IBAN IT60 X054 2811 1010 0000 0123 456, BIC BLOPIT22. Late payments shall accrue interest at the rate prescribed by Italian Legislative Decree 231/2002.</w:t>
      </w:r>
    </w:p>
    <w:bookmarkEnd w:id="25"/>
    <w:bookmarkStart w:id="26" w:name="terms-and-conditions"/>
    <w:p>
      <w:pPr>
        <w:pStyle w:val="Heading2"/>
      </w:pPr>
      <w:r>
        <w:t xml:space="preserve">6.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rates and availability of the</w:t>
      </w:r>
      <w:r>
        <w:t xml:space="preserve"> </w:t>
      </w:r>
      <w:r>
        <w:t xml:space="preserve">Systems Engineer</w:t>
      </w:r>
      <w:r>
        <w:t xml:space="preserve"> </w:t>
      </w:r>
      <w:r>
        <w:t xml:space="preserve">are subject to re-evaluation.</w:t>
      </w:r>
    </w:p>
    <w:p>
      <w:pPr>
        <w:numPr>
          <w:ilvl w:val="0"/>
          <w:numId w:val="1002"/>
        </w:numPr>
        <w:pStyle w:val="Compact"/>
      </w:pPr>
      <w:r>
        <w:t xml:space="preserve">The</w:t>
      </w:r>
      <w:r>
        <w:t xml:space="preserve"> </w:t>
      </w:r>
      <w:r>
        <w:t xml:space="preserve">Systems Engineer</w:t>
      </w:r>
      <w:r>
        <w:t xml:space="preserve"> </w:t>
      </w:r>
      <w:r>
        <w:t xml:space="preserve">will operate from the client's premises in</w:t>
      </w:r>
      <w:r>
        <w:t xml:space="preserve"> </w:t>
      </w:r>
      <w:r>
        <w:t xml:space="preserve">Italy Milan</w:t>
      </w:r>
      <w:r>
        <w:t xml:space="preserve"> </w:t>
      </w:r>
      <w:r>
        <w:t xml:space="preserve">during core business hours (09:00–18:00 CET), with availability for critical incidents on a 24/7 on-call basis during the support window.</w:t>
      </w:r>
    </w:p>
    <w:p>
      <w:pPr>
        <w:numPr>
          <w:ilvl w:val="0"/>
          <w:numId w:val="1002"/>
        </w:numPr>
        <w:pStyle w:val="Compact"/>
      </w:pPr>
      <w:r>
        <w:t xml:space="preserve">All intellectual property produced during the engagement, including architecture diagrams, configuration scripts, and documentation, shall become the exclusive property of the client upon full payment.</w:t>
      </w:r>
    </w:p>
    <w:p>
      <w:pPr>
        <w:numPr>
          <w:ilvl w:val="0"/>
          <w:numId w:val="1002"/>
        </w:numPr>
        <w:pStyle w:val="Compact"/>
      </w:pPr>
      <w:r>
        <w:t xml:space="preserve">Confidentiality obligations are governed by a separate Non-Disclosure Agreement (NDA) to be executed prior to commencement of work.</w:t>
      </w:r>
    </w:p>
    <w:p>
      <w:pPr>
        <w:numPr>
          <w:ilvl w:val="0"/>
          <w:numId w:val="1002"/>
        </w:numPr>
        <w:pStyle w:val="Compact"/>
      </w:pPr>
      <w:r>
        <w:t xml:space="preserve">Any scope changes exceeding 10% of the originally estimated hours will require a formal change order and a revised</w:t>
      </w:r>
      <w:r>
        <w:t xml:space="preserve"> </w:t>
      </w:r>
      <w:r>
        <w:t xml:space="preserve">Quotation Estimate</w:t>
      </w:r>
      <w:r>
        <w:t xml:space="preserve"> </w:t>
      </w:r>
      <w:r>
        <w:t xml:space="preserve">signed by both parties.</w:t>
      </w:r>
    </w:p>
    <w:p>
      <w:pPr>
        <w:numPr>
          <w:ilvl w:val="0"/>
          <w:numId w:val="1002"/>
        </w:numPr>
        <w:pStyle w:val="Compact"/>
      </w:pPr>
      <w:r>
        <w:t xml:space="preserve">This engagement is governed by the laws of the Italian Republic. Any disputes shall be resolved by the competent courts of Milan, Italy.</w:t>
      </w:r>
    </w:p>
    <w:p>
      <w:pPr>
        <w:pStyle w:val="FirstParagraph"/>
      </w:pPr>
      <w:r>
        <w:rPr>
          <w:bCs/>
          <w:b/>
        </w:rPr>
        <w:t xml:space="preserve">Note:</w:t>
      </w:r>
      <w:r>
        <w:t xml:space="preserve"> </w:t>
      </w:r>
      <w:r>
        <w:t xml:space="preserve">This Quotation Estimate does not include the cost of third-party hardware, software licenses, or cloud service subscriptions. These items will be procured directly by the client or through a separate purchase order at cost, with a 5% handling fee applied by TechConsult Solutions S.r.l.</w:t>
      </w:r>
    </w:p>
    <w:bookmarkEnd w:id="26"/>
    <w:bookmarkStart w:id="27" w:name="acceptance"/>
    <w:p>
      <w:pPr>
        <w:pStyle w:val="Heading2"/>
      </w:pPr>
      <w:r>
        <w:t xml:space="preserve">7.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financial figures outlined herein for the engagement of the</w:t>
      </w:r>
      <w:r>
        <w:t xml:space="preserve"> </w:t>
      </w:r>
      <w:r>
        <w:t xml:space="preserve">Systems Engineer</w:t>
      </w:r>
      <w:r>
        <w:t xml:space="preserve"> </w:t>
      </w:r>
      <w:r>
        <w:t xml:space="preserve">in</w:t>
      </w:r>
      <w:r>
        <w:t xml:space="preserve"> </w:t>
      </w:r>
      <w:r>
        <w:t xml:space="preserve">Italy Milan</w:t>
      </w:r>
      <w:r>
        <w:t xml:space="preserve">.</w:t>
      </w:r>
    </w:p>
    <w:p>
      <w:pPr>
        <w:pStyle w:val="BodyText"/>
      </w:pPr>
      <w:r>
        <w:rPr>
          <w:bCs/>
          <w:b/>
        </w:rPr>
        <w:t xml:space="preserve">For TechConsult Solutions S.r.l.</w:t>
      </w:r>
    </w:p>
    <w:p>
      <w:pPr>
        <w:pStyle w:val="BodyText"/>
      </w:pPr>
      <w:r>
        <w:t xml:space="preserve">Name: _______________________</w:t>
      </w:r>
      <w:r>
        <w:br/>
      </w:r>
      <w:r>
        <w:t xml:space="preserve">Title: Managing Director</w:t>
      </w:r>
      <w:r>
        <w:br/>
      </w:r>
      <w:r>
        <w:t xml:space="preserve">Date: _______________________</w:t>
      </w:r>
    </w:p>
    <w:p>
      <w:pPr>
        <w:pStyle w:val="BodyText"/>
      </w:pPr>
      <w:r>
        <w:rPr>
          <w:bCs/>
          <w:b/>
        </w:rPr>
        <w:t xml:space="preserve">For the Client</w:t>
      </w:r>
    </w:p>
    <w:p>
      <w:pPr>
        <w:pStyle w:val="BodyText"/>
      </w:pPr>
      <w:r>
        <w:t xml:space="preserve">Name: _______________________</w:t>
      </w:r>
      <w:r>
        <w:br/>
      </w:r>
      <w:r>
        <w:t xml:space="preserve">Title: _______________________</w:t>
      </w:r>
      <w:r>
        <w:br/>
      </w:r>
      <w:r>
        <w:t xml:space="preserve">Date: _______________________</w:t>
      </w:r>
    </w:p>
    <w:p>
      <w:pPr>
        <w:pStyle w:val="BodyText"/>
      </w:pPr>
      <w:r>
        <w:t xml:space="preserve">TechConsult Solutions S.r.l. | P.IVA IT01234567890 | REA MI-1234567 | Via Torino 25, 20123 Milan, Italy</w:t>
      </w:r>
      <w:r>
        <w:br/>
      </w:r>
      <w:r>
        <w:t xml:space="preserve">Email: quotations@techconsult-solutions.it | Tel: +39 02 1234 5678</w:t>
      </w:r>
      <w:r>
        <w:br/>
      </w:r>
      <w:r>
        <w:t xml:space="preserve">This Quotation Estimate is a confidential commercial document intended solely for the named recipient. Unauthorized distribution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 Italy Milan</dc:title>
  <dc:creator/>
  <dc:language>en</dc:language>
  <cp:keywords/>
  <dcterms:created xsi:type="dcterms:W3CDTF">2026-10-10T01:52:31Z</dcterms:created>
  <dcterms:modified xsi:type="dcterms:W3CDTF">2026-10-10T01:52:31Z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