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Systems Engineer Services — Japan Osaka Region</w:t>
      </w:r>
    </w:p>
    <w:p>
      <w:pPr>
        <w:pStyle w:val="BodyText"/>
      </w:pPr>
      <w:r>
        <w:t xml:space="preserve">Document Reference: QE-JO-2025-0472 | Classification: Commercial</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QE-JO-2025-0472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w:t>
            </w:r>
          </w:p>
        </w:tc>
      </w:tr>
      <w:tr>
        <w:tc>
          <w:tcPr/>
          <w:p>
            <w:pPr>
              <w:pStyle w:val="Compact"/>
              <w:jc w:val="left"/>
            </w:pPr>
            <w:r>
              <w:t xml:space="preserve">Prepared By</w:t>
            </w:r>
          </w:p>
        </w:tc>
        <w:tc>
          <w:tcPr/>
          <w:p>
            <w:pPr>
              <w:pStyle w:val="Compact"/>
              <w:jc w:val="left"/>
            </w:pPr>
            <w:r>
              <w:t xml:space="preserve">Global Infrastructure Solutions Ltd. — Osaka Office</w:t>
            </w:r>
          </w:p>
        </w:tc>
      </w:tr>
      <w:tr>
        <w:tc>
          <w:tcPr/>
          <w:p>
            <w:pPr>
              <w:pStyle w:val="Compact"/>
              <w:jc w:val="left"/>
            </w:pPr>
            <w:r>
              <w:t xml:space="preserve">Prepared For</w:t>
            </w:r>
          </w:p>
        </w:tc>
        <w:tc>
          <w:tcPr/>
          <w:p>
            <w:pPr>
              <w:pStyle w:val="Compact"/>
              <w:jc w:val="left"/>
            </w:pPr>
            <w:r>
              <w:t xml:space="preserve">Client Name / Company (Japan Osaka)</w:t>
            </w:r>
          </w:p>
        </w:tc>
      </w:tr>
      <w:tr>
        <w:tc>
          <w:tcPr/>
          <w:p>
            <w:pPr>
              <w:pStyle w:val="Compact"/>
              <w:jc w:val="left"/>
            </w:pPr>
            <w:r>
              <w:t xml:space="preserve">Project Location</w:t>
            </w:r>
          </w:p>
        </w:tc>
        <w:tc>
          <w:tcPr/>
          <w:p>
            <w:pPr>
              <w:pStyle w:val="Compact"/>
              <w:jc w:val="left"/>
            </w:pPr>
            <w:r>
              <w:t xml:space="preserve">Osaka, Japan — Kansai Region Operations Center</w:t>
            </w:r>
          </w:p>
        </w:tc>
      </w:tr>
      <w:tr>
        <w:tc>
          <w:tcPr/>
          <w:p>
            <w:pPr>
              <w:pStyle w:val="Compact"/>
              <w:jc w:val="left"/>
            </w:pPr>
            <w:r>
              <w:t xml:space="preserve">Service Category</w:t>
            </w:r>
          </w:p>
        </w:tc>
        <w:tc>
          <w:tcPr/>
          <w:p>
            <w:pPr>
              <w:pStyle w:val="Compact"/>
              <w:jc w:val="left"/>
            </w:pPr>
            <w:r>
              <w:t xml:space="preserve">Systems Engineer Deployment &amp; Technical Consulting</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Global Infrastructure Solutions Ltd. to provide comprehensive professional services for the engagement of a senior</w:t>
      </w:r>
      <w:r>
        <w:t xml:space="preserve"> </w:t>
      </w:r>
      <w:r>
        <w:t xml:space="preserve">Systems Engineer</w:t>
      </w:r>
      <w:r>
        <w:t xml:space="preserve"> </w:t>
      </w:r>
      <w:r>
        <w:t xml:space="preserve">to be deployed and operational within the</w:t>
      </w:r>
      <w:r>
        <w:t xml:space="preserve"> </w:t>
      </w:r>
      <w:r>
        <w:t xml:space="preserve">Japan Osaka</w:t>
      </w:r>
      <w:r>
        <w:t xml:space="preserve"> </w:t>
      </w:r>
      <w:r>
        <w:t xml:space="preserve">metropolitan area. The scope of this engagement encompasses the design, implementation, monitoring, and ongoing maintenance of enterprise-grade IT infrastructure systems. This</w:t>
      </w:r>
      <w:r>
        <w:t xml:space="preserve"> </w:t>
      </w:r>
      <w:r>
        <w:t xml:space="preserve">Quotation Estimate</w:t>
      </w:r>
      <w:r>
        <w:t xml:space="preserve"> </w:t>
      </w:r>
      <w:r>
        <w:t xml:space="preserve">reflects current market rates for qualified</w:t>
      </w:r>
      <w:r>
        <w:t xml:space="preserve"> </w:t>
      </w:r>
      <w:r>
        <w:t xml:space="preserve">Systems Engineer</w:t>
      </w:r>
      <w:r>
        <w:t xml:space="preserve"> </w:t>
      </w:r>
      <w:r>
        <w:t xml:space="preserve">professionals operating within the</w:t>
      </w:r>
      <w:r>
        <w:t xml:space="preserve"> </w:t>
      </w:r>
      <w:r>
        <w:t xml:space="preserve">Japan Osaka</w:t>
      </w:r>
      <w:r>
        <w:t xml:space="preserve"> </w:t>
      </w:r>
      <w:r>
        <w:t xml:space="preserve">technology sector, taking into account local labor regulations, cost-of-living adjustments, and the specialized skill set required for the project deliverables outlined herein.</w:t>
      </w:r>
    </w:p>
    <w:bookmarkEnd w:id="21"/>
    <w:bookmarkStart w:id="22" w:name="scope-of-work"/>
    <w:p>
      <w:pPr>
        <w:pStyle w:val="Heading2"/>
      </w:pPr>
      <w:r>
        <w:t xml:space="preserve">2. Scope of Work</w:t>
      </w:r>
    </w:p>
    <w:p>
      <w:pPr>
        <w:pStyle w:val="FirstParagraph"/>
      </w:pPr>
      <w:r>
        <w:t xml:space="preserve">The</w:t>
      </w:r>
      <w:r>
        <w:t xml:space="preserve"> </w:t>
      </w:r>
      <w:r>
        <w:t xml:space="preserve">Systems Engineer</w:t>
      </w:r>
      <w:r>
        <w:t xml:space="preserve"> </w:t>
      </w:r>
      <w:r>
        <w:t xml:space="preserve">engaged under this</w:t>
      </w:r>
      <w:r>
        <w:t xml:space="preserve"> </w:t>
      </w:r>
      <w:r>
        <w:t xml:space="preserve">Quotation Estimate</w:t>
      </w:r>
      <w:r>
        <w:t xml:space="preserve"> </w:t>
      </w:r>
      <w:r>
        <w:t xml:space="preserve">will be responsible for the following core activities within the</w:t>
      </w:r>
      <w:r>
        <w:t xml:space="preserve"> </w:t>
      </w:r>
      <w:r>
        <w:t xml:space="preserve">Japan Osaka</w:t>
      </w:r>
      <w:r>
        <w:t xml:space="preserve"> </w:t>
      </w:r>
      <w:r>
        <w:t xml:space="preserve">operational environment:</w:t>
      </w:r>
    </w:p>
    <w:p>
      <w:pPr>
        <w:numPr>
          <w:ilvl w:val="0"/>
          <w:numId w:val="1001"/>
        </w:numPr>
        <w:pStyle w:val="Compact"/>
      </w:pPr>
      <w:r>
        <w:t xml:space="preserve">Architecture design and implementation of distributed computing systems supporting enterprise workloads in the Osaka region.</w:t>
      </w:r>
    </w:p>
    <w:p>
      <w:pPr>
        <w:numPr>
          <w:ilvl w:val="0"/>
          <w:numId w:val="1001"/>
        </w:numPr>
        <w:pStyle w:val="Compact"/>
      </w:pPr>
      <w:r>
        <w:t xml:space="preserve">Configuration, deployment, and optimization of server infrastructure, including Linux and Windows Server environments.</w:t>
      </w:r>
    </w:p>
    <w:p>
      <w:pPr>
        <w:numPr>
          <w:ilvl w:val="0"/>
          <w:numId w:val="1001"/>
        </w:numPr>
        <w:pStyle w:val="Compact"/>
      </w:pPr>
      <w:r>
        <w:t xml:space="preserve">Network infrastructure management, including LAN/WAN configuration, firewall policy management, and load-balancing solutions tailored to the</w:t>
      </w:r>
      <w:r>
        <w:t xml:space="preserve"> </w:t>
      </w:r>
      <w:r>
        <w:t xml:space="preserve">Japan Osaka</w:t>
      </w:r>
      <w:r>
        <w:t xml:space="preserve"> </w:t>
      </w:r>
      <w:r>
        <w:t xml:space="preserve">data center facilities.</w:t>
      </w:r>
    </w:p>
    <w:p>
      <w:pPr>
        <w:numPr>
          <w:ilvl w:val="0"/>
          <w:numId w:val="1001"/>
        </w:numPr>
        <w:pStyle w:val="Compact"/>
      </w:pPr>
      <w:r>
        <w:t xml:space="preserve">Cloud migration strategy and execution, leveraging AWS, Azure, or GCP platforms with regional endpoints in Osaka (ap-northeast-1).</w:t>
      </w:r>
    </w:p>
    <w:p>
      <w:pPr>
        <w:numPr>
          <w:ilvl w:val="0"/>
          <w:numId w:val="1001"/>
        </w:numPr>
        <w:pStyle w:val="Compact"/>
      </w:pPr>
      <w:r>
        <w:t xml:space="preserve">Disaster recovery planning and business continuity implementation compliant with Japanese IT security standards (ISMS, JIS Q 15001).</w:t>
      </w:r>
    </w:p>
    <w:p>
      <w:pPr>
        <w:numPr>
          <w:ilvl w:val="0"/>
          <w:numId w:val="1001"/>
        </w:numPr>
        <w:pStyle w:val="Compact"/>
      </w:pPr>
      <w:r>
        <w:t xml:space="preserve">Performance monitoring, capacity planning, and proactive maintenance of all systems under the</w:t>
      </w:r>
      <w:r>
        <w:t xml:space="preserve"> </w:t>
      </w:r>
      <w:r>
        <w:t xml:space="preserve">Systems Engineer</w:t>
      </w:r>
      <w:r>
        <w:t xml:space="preserve">'s purview.</w:t>
      </w:r>
    </w:p>
    <w:p>
      <w:pPr>
        <w:numPr>
          <w:ilvl w:val="0"/>
          <w:numId w:val="1001"/>
        </w:numPr>
        <w:pStyle w:val="Compact"/>
      </w:pPr>
      <w:r>
        <w:t xml:space="preserve">Technical documentation, knowledge transfer, and training of in-house</w:t>
      </w:r>
      <w:r>
        <w:t xml:space="preserve"> </w:t>
      </w:r>
      <w:r>
        <w:t xml:space="preserve">Japan Osaka</w:t>
      </w:r>
      <w:r>
        <w:t xml:space="preserve"> </w:t>
      </w:r>
      <w:r>
        <w:t xml:space="preserve">staff on system operations and best practices.</w:t>
      </w:r>
    </w:p>
    <w:p>
      <w:pPr>
        <w:numPr>
          <w:ilvl w:val="0"/>
          <w:numId w:val="1001"/>
        </w:numPr>
        <w:pStyle w:val="Compact"/>
      </w:pPr>
      <w:r>
        <w:t xml:space="preserve">Vendor coordination and third-party integration management for hardware and software procurement within the Osaka market.</w:t>
      </w:r>
    </w:p>
    <w:bookmarkEnd w:id="22"/>
    <w:bookmarkStart w:id="23" w:name="professional-profile-qualifications"/>
    <w:p>
      <w:pPr>
        <w:pStyle w:val="Heading2"/>
      </w:pPr>
      <w:r>
        <w:t xml:space="preserve">3. Professional Profile &amp; Qualifications</w:t>
      </w:r>
    </w:p>
    <w:p>
      <w:pPr>
        <w:pStyle w:val="FirstParagraph"/>
      </w:pPr>
      <w:r>
        <w:t xml:space="preserve">The</w:t>
      </w:r>
      <w:r>
        <w:t xml:space="preserve"> </w:t>
      </w:r>
      <w:r>
        <w:t xml:space="preserve">Systems Engineer</w:t>
      </w:r>
      <w:r>
        <w:t xml:space="preserve"> </w:t>
      </w:r>
      <w:r>
        <w:t xml:space="preserve">proposed under this</w:t>
      </w:r>
      <w:r>
        <w:t xml:space="preserve"> </w:t>
      </w:r>
      <w:r>
        <w:t xml:space="preserve">Quotation Estimate</w:t>
      </w:r>
      <w:r>
        <w:t xml:space="preserve"> </w:t>
      </w:r>
      <w:r>
        <w:t xml:space="preserve">shall possess a minimum of eight (8) years of progressive experience in enterprise systems engineering. Required certifications include but are not limited to: CompTIA Linux+, Microsoft Certified: Azure Solutions Architect Expert, or equivalent. The</w:t>
      </w:r>
      <w:r>
        <w:t xml:space="preserve"> </w:t>
      </w:r>
      <w:r>
        <w:t xml:space="preserve">Systems Engineer</w:t>
      </w:r>
      <w:r>
        <w:t xml:space="preserve"> </w:t>
      </w:r>
      <w:r>
        <w:t xml:space="preserve">must demonstrate fluency in both English and Japanese (JLPT N2 or above) to ensure seamless communication with local stakeholders, regulatory bodies, and end-users within the</w:t>
      </w:r>
      <w:r>
        <w:t xml:space="preserve"> </w:t>
      </w:r>
      <w:r>
        <w:t xml:space="preserve">Japan Osaka</w:t>
      </w:r>
      <w:r>
        <w:t xml:space="preserve"> </w:t>
      </w:r>
      <w:r>
        <w:t xml:space="preserve">business community. Prior experience working within Japanese corporate environments or multinational operations in the Kansai region is strongly preferred.</w:t>
      </w:r>
    </w:p>
    <w:bookmarkEnd w:id="23"/>
    <w:bookmarkStart w:id="24" w:name="financial-breakdown"/>
    <w:p>
      <w:pPr>
        <w:pStyle w:val="Heading2"/>
      </w:pPr>
      <w:r>
        <w:t xml:space="preserve">4. Financial Breakdown</w:t>
      </w:r>
    </w:p>
    <w:p>
      <w:pPr>
        <w:pStyle w:val="FirstParagraph"/>
      </w:pPr>
      <w:r>
        <w:t xml:space="preserve">The following pricing structure constitutes the complete financial component of this</w:t>
      </w:r>
      <w:r>
        <w:t xml:space="preserve"> </w:t>
      </w:r>
      <w:r>
        <w:t xml:space="preserve">Quotation Estimate</w:t>
      </w:r>
      <w:r>
        <w:t xml:space="preserve"> </w:t>
      </w:r>
      <w:r>
        <w:t xml:space="preserve">for the</w:t>
      </w:r>
      <w:r>
        <w:t xml:space="preserve"> </w:t>
      </w:r>
      <w:r>
        <w:t xml:space="preserve">Systems Engineer</w:t>
      </w:r>
      <w:r>
        <w:t xml:space="preserve"> </w:t>
      </w:r>
      <w:r>
        <w:t xml:space="preserve">engagement in</w:t>
      </w:r>
      <w:r>
        <w:t xml:space="preserve"> </w:t>
      </w:r>
      <w:r>
        <w:t xml:space="preserve">Japan Osaka</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(JPY)</w:t>
            </w:r>
          </w:p>
        </w:tc>
      </w:tr>
      <w:tr>
        <w:tc>
          <w:tcPr/>
          <w:p>
            <w:pPr>
              <w:pStyle w:val="Compact"/>
              <w:jc w:val="left"/>
            </w:pPr>
            <w:r>
              <w:t xml:space="preserve">1.0</w:t>
            </w:r>
          </w:p>
        </w:tc>
        <w:tc>
          <w:tcPr/>
          <w:p>
            <w:pPr>
              <w:pStyle w:val="Compact"/>
              <w:jc w:val="left"/>
            </w:pPr>
            <w:r>
              <w:t xml:space="preserve">Systems Engineer Monthly Professional Fee (Senior Level)</w:t>
            </w:r>
          </w:p>
        </w:tc>
        <w:tc>
          <w:tcPr/>
          <w:p>
            <w:pPr>
              <w:pStyle w:val="Compact"/>
              <w:jc w:val="left"/>
            </w:pPr>
            <w:r>
              <w:t xml:space="preserve">12 months</w:t>
            </w:r>
          </w:p>
        </w:tc>
        <w:tc>
          <w:tcPr/>
          <w:p>
            <w:pPr>
              <w:pStyle w:val="Compact"/>
              <w:jc w:val="left"/>
            </w:pPr>
            <w:r>
              <w:t xml:space="preserve">¥1,440,000,000</w:t>
            </w:r>
          </w:p>
        </w:tc>
      </w:tr>
      <w:tr>
        <w:tc>
          <w:tcPr/>
          <w:p>
            <w:pPr>
              <w:pStyle w:val="Compact"/>
              <w:jc w:val="left"/>
            </w:pPr>
            <w:r>
              <w:t xml:space="preserve">2.0</w:t>
            </w:r>
          </w:p>
        </w:tc>
        <w:tc>
          <w:tcPr/>
          <w:p>
            <w:pPr>
              <w:pStyle w:val="Compact"/>
              <w:jc w:val="left"/>
            </w:pPr>
            <w:r>
              <w:t xml:space="preserve">Initial Infrastructure Assessment &amp; Audit (Japan Osaka Site)</w:t>
            </w:r>
          </w:p>
        </w:tc>
        <w:tc>
          <w:tcPr/>
          <w:p>
            <w:pPr>
              <w:pStyle w:val="Compact"/>
              <w:jc w:val="left"/>
            </w:pPr>
            <w:r>
              <w:t xml:space="preserve">One-time</w:t>
            </w:r>
          </w:p>
        </w:tc>
        <w:tc>
          <w:tcPr/>
          <w:p>
            <w:pPr>
              <w:pStyle w:val="Compact"/>
              <w:jc w:val="left"/>
            </w:pPr>
            <w:r>
              <w:t xml:space="preserve">¥850,000</w:t>
            </w:r>
          </w:p>
        </w:tc>
      </w:tr>
      <w:tr>
        <w:tc>
          <w:tcPr/>
          <w:p>
            <w:pPr>
              <w:pStyle w:val="Compact"/>
              <w:jc w:val="left"/>
            </w:pPr>
            <w:r>
              <w:t xml:space="preserve">3.0</w:t>
            </w:r>
          </w:p>
        </w:tc>
        <w:tc>
          <w:tcPr/>
          <w:p>
            <w:pPr>
              <w:pStyle w:val="Compact"/>
              <w:jc w:val="left"/>
            </w:pPr>
            <w:r>
              <w:t xml:space="preserve">Cloud Migration Implementation &amp; Configuration</w:t>
            </w:r>
          </w:p>
        </w:tc>
        <w:tc>
          <w:tcPr/>
          <w:p>
            <w:pPr>
              <w:pStyle w:val="Compact"/>
              <w:jc w:val="left"/>
            </w:pPr>
            <w:r>
              <w:t xml:space="preserve">3 months</w:t>
            </w:r>
          </w:p>
        </w:tc>
        <w:tc>
          <w:tcPr/>
          <w:p>
            <w:pPr>
              <w:pStyle w:val="Compact"/>
              <w:jc w:val="left"/>
            </w:pPr>
            <w:r>
              <w:t xml:space="preserve">¥2,400,000</w:t>
            </w:r>
          </w:p>
        </w:tc>
      </w:tr>
      <w:tr>
        <w:tc>
          <w:tcPr/>
          <w:p>
            <w:pPr>
              <w:pStyle w:val="Compact"/>
              <w:jc w:val="left"/>
            </w:pPr>
            <w:r>
              <w:t xml:space="preserve">4.0</w:t>
            </w:r>
          </w:p>
        </w:tc>
        <w:tc>
          <w:tcPr/>
          <w:p>
            <w:pPr>
              <w:pStyle w:val="Compact"/>
              <w:jc w:val="left"/>
            </w:pPr>
            <w:r>
              <w:t xml:space="preserve">Disaster Recovery &amp; BCP Design (Osaka Region)</w:t>
            </w:r>
          </w:p>
        </w:tc>
        <w:tc>
          <w:tcPr/>
          <w:p>
            <w:pPr>
              <w:pStyle w:val="Compact"/>
              <w:jc w:val="left"/>
            </w:pPr>
            <w:r>
              <w:t xml:space="preserve">One-time</w:t>
            </w:r>
          </w:p>
        </w:tc>
        <w:tc>
          <w:tcPr/>
          <w:p>
            <w:pPr>
              <w:pStyle w:val="Compact"/>
              <w:jc w:val="left"/>
            </w:pPr>
            <w:r>
              <w:t xml:space="preserve">¥1,200,000</w:t>
            </w:r>
          </w:p>
        </w:tc>
      </w:tr>
      <w:tr>
        <w:tc>
          <w:tcPr/>
          <w:p>
            <w:pPr>
              <w:pStyle w:val="Compact"/>
              <w:jc w:val="left"/>
            </w:pPr>
            <w:r>
              <w:t xml:space="preserve">5.0</w:t>
            </w:r>
          </w:p>
        </w:tc>
        <w:tc>
          <w:tcPr/>
          <w:p>
            <w:pPr>
              <w:pStyle w:val="Compact"/>
              <w:jc w:val="left"/>
            </w:pPr>
            <w:r>
              <w:t xml:space="preserve">On-site Travel &amp; Accommodation (Osaka, Japan)</w:t>
            </w:r>
          </w:p>
        </w:tc>
        <w:tc>
          <w:tcPr/>
          <w:p>
            <w:pPr>
              <w:pStyle w:val="Compact"/>
              <w:jc w:val="left"/>
            </w:pPr>
            <w:r>
              <w:t xml:space="preserve">12 months</w:t>
            </w:r>
          </w:p>
        </w:tc>
        <w:tc>
          <w:tcPr/>
          <w:p>
            <w:pPr>
              <w:pStyle w:val="Compact"/>
              <w:jc w:val="left"/>
            </w:pPr>
            <w:r>
              <w:t xml:space="preserve">¥3,600,000</w:t>
            </w:r>
          </w:p>
        </w:tc>
      </w:tr>
      <w:tr>
        <w:tc>
          <w:tcPr/>
          <w:p>
            <w:pPr>
              <w:pStyle w:val="Compact"/>
              <w:jc w:val="left"/>
            </w:pPr>
            <w:r>
              <w:t xml:space="preserve">6.0</w:t>
            </w:r>
          </w:p>
        </w:tc>
        <w:tc>
          <w:tcPr/>
          <w:p>
            <w:pPr>
              <w:pStyle w:val="Compact"/>
              <w:jc w:val="left"/>
            </w:pPr>
            <w:r>
              <w:t xml:space="preserve">Technical Documentation &amp; Knowledge Transfer</w:t>
            </w:r>
          </w:p>
        </w:tc>
        <w:tc>
          <w:tcPr/>
          <w:p>
            <w:pPr>
              <w:pStyle w:val="Compact"/>
              <w:jc w:val="left"/>
            </w:pPr>
            <w:r>
              <w:t xml:space="preserve">12 months</w:t>
            </w:r>
          </w:p>
        </w:tc>
        <w:tc>
          <w:tcPr/>
          <w:p>
            <w:pPr>
              <w:pStyle w:val="Compact"/>
              <w:jc w:val="left"/>
            </w:pPr>
            <w:r>
              <w:t xml:space="preserve">¥960,000</w:t>
            </w:r>
          </w:p>
        </w:tc>
      </w:tr>
      <w:tr>
        <w:tc>
          <w:tcPr/>
          <w:p>
            <w:pPr>
              <w:pStyle w:val="Compact"/>
              <w:jc w:val="left"/>
            </w:pPr>
            <w:r>
              <w:t xml:space="preserve">7.0</w:t>
            </w:r>
          </w:p>
        </w:tc>
        <w:tc>
          <w:tcPr/>
          <w:p>
            <w:pPr>
              <w:pStyle w:val="Compact"/>
              <w:jc w:val="left"/>
            </w:pPr>
            <w:r>
              <w:t xml:space="preserve">Contingency &amp; Emergency Response (5% of subtotal)</w:t>
            </w:r>
          </w:p>
        </w:tc>
        <w:tc>
          <w:tcPr/>
          <w:p>
            <w:pPr>
              <w:pStyle w:val="Compact"/>
              <w:jc w:val="left"/>
            </w:pPr>
            <w:r>
              <w:t xml:space="preserve">12 months</w:t>
            </w:r>
          </w:p>
        </w:tc>
        <w:tc>
          <w:tcPr/>
          <w:p>
            <w:pPr>
              <w:pStyle w:val="Compact"/>
              <w:jc w:val="left"/>
            </w:pPr>
            <w:r>
              <w:t xml:space="preserve">¥78,000,000</w:t>
            </w:r>
          </w:p>
        </w:tc>
      </w:tr>
      <w:tr>
        <w:tc>
          <w:tcPr>
            <w:gridSpan w:val="3"/>
          </w:tcPr>
          <w:p>
            <w:pPr>
              <w:pStyle w:val="Compact"/>
              <w:jc w:val="left"/>
            </w:pPr>
            <w:r>
              <w:t xml:space="preserve">TOTAL ESTIMATED COST (Excl. Consumption Tax)</w:t>
            </w:r>
          </w:p>
        </w:tc>
        <w:tc>
          <w:tcPr/>
          <w:p>
            <w:pPr>
              <w:pStyle w:val="Compact"/>
              <w:jc w:val="left"/>
            </w:pPr>
            <w:r>
              <w:t xml:space="preserve">¥1,449,090,000</w:t>
            </w:r>
          </w:p>
        </w:tc>
      </w:tr>
      <w:tr>
        <w:tc>
          <w:tcPr>
            <w:gridSpan w:val="3"/>
          </w:tcPr>
          <w:p>
            <w:pPr>
              <w:pStyle w:val="Compact"/>
              <w:jc w:val="left"/>
            </w:pPr>
            <w:r>
              <w:t xml:space="preserve">Consumption Tax (10% — Japan Osaka)</w:t>
            </w:r>
          </w:p>
        </w:tc>
        <w:tc>
          <w:tcPr/>
          <w:p>
            <w:pPr>
              <w:pStyle w:val="Compact"/>
              <w:jc w:val="left"/>
            </w:pPr>
            <w:r>
              <w:t xml:space="preserve">¥144,909,000</w:t>
            </w:r>
          </w:p>
        </w:tc>
      </w:tr>
      <w:tr>
        <w:tc>
          <w:tcPr>
            <w:gridSpan w:val="3"/>
          </w:tcPr>
          <w:p>
            <w:pPr>
              <w:pStyle w:val="Compact"/>
              <w:jc w:val="left"/>
            </w:pPr>
            <w:r>
              <w:t xml:space="preserve">GRAND TOTAL (Incl. Tax)</w:t>
            </w:r>
          </w:p>
        </w:tc>
        <w:tc>
          <w:tcPr/>
          <w:p>
            <w:pPr>
              <w:pStyle w:val="Compact"/>
              <w:jc w:val="left"/>
            </w:pPr>
            <w:r>
              <w:t xml:space="preserve">¥1,593,999,000</w:t>
            </w:r>
          </w:p>
        </w:tc>
      </w:tr>
    </w:tbl>
    <w:bookmarkEnd w:id="24"/>
    <w:bookmarkStart w:id="25" w:name="terms-conditions"/>
    <w:p>
      <w:pPr>
        <w:pStyle w:val="Heading2"/>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for the</w:t>
      </w:r>
      <w:r>
        <w:t xml:space="preserve"> </w:t>
      </w:r>
      <w:r>
        <w:t xml:space="preserve">Systems Engineer</w:t>
      </w:r>
      <w:r>
        <w:t xml:space="preserve"> </w:t>
      </w:r>
      <w:r>
        <w:t xml:space="preserve">engagement in</w:t>
      </w:r>
      <w:r>
        <w:t xml:space="preserve"> </w:t>
      </w:r>
      <w:r>
        <w:t xml:space="preserve">Japan Osaka</w:t>
      </w:r>
      <w:r>
        <w:t xml:space="preserve"> </w:t>
      </w:r>
      <w:r>
        <w:t xml:space="preserve">is subject to revision based on market conditions and currency fluctuations.</w:t>
      </w:r>
    </w:p>
    <w:p>
      <w:pPr>
        <w:numPr>
          <w:ilvl w:val="0"/>
          <w:numId w:val="1002"/>
        </w:numPr>
        <w:pStyle w:val="Compact"/>
      </w:pPr>
      <w:r>
        <w:t xml:space="preserve">Payment terms: 30% advance upon contract execution, 40% upon completion of the cloud migration phase, and 30% upon final acceptance of all deliverables. All payments shall be processed in Japanese Yen (JPY) via bank transfer to the designated account in Osaka.</w:t>
      </w:r>
    </w:p>
    <w:p>
      <w:pPr>
        <w:numPr>
          <w:ilvl w:val="0"/>
          <w:numId w:val="1002"/>
        </w:numPr>
        <w:pStyle w:val="Compact"/>
      </w:pPr>
      <w:r>
        <w:t xml:space="preserve">The</w:t>
      </w:r>
      <w:r>
        <w:t xml:space="preserve"> </w:t>
      </w:r>
      <w:r>
        <w:t xml:space="preserve">Systems Engineer</w:t>
      </w:r>
      <w:r>
        <w:t xml:space="preserve"> </w:t>
      </w:r>
      <w:r>
        <w:t xml:space="preserve">shall comply with all applicable Japanese labor laws, including the Labor Standards Act, and shall be subject to the local employment regulations governing the</w:t>
      </w:r>
      <w:r>
        <w:t xml:space="preserve"> </w:t>
      </w:r>
      <w:r>
        <w:t xml:space="preserve">Japan Osaka</w:t>
      </w:r>
      <w:r>
        <w:t xml:space="preserve"> </w:t>
      </w:r>
      <w:r>
        <w:t xml:space="preserve">metropolitan area.</w:t>
      </w:r>
    </w:p>
    <w:p>
      <w:pPr>
        <w:numPr>
          <w:ilvl w:val="0"/>
          <w:numId w:val="1002"/>
        </w:numPr>
        <w:pStyle w:val="Compact"/>
      </w:pPr>
      <w:r>
        <w:t xml:space="preserve">Confidentiality: All proprietary information, system architectures, and client data encountered during the engagement in</w:t>
      </w:r>
      <w:r>
        <w:t xml:space="preserve"> </w:t>
      </w:r>
      <w:r>
        <w:t xml:space="preserve">Japan Osaka</w:t>
      </w:r>
      <w:r>
        <w:t xml:space="preserve"> </w:t>
      </w:r>
      <w:r>
        <w:t xml:space="preserve">shall be treated as strictly confidential and protected under the Japanese Act on the Protection of Personal Information (APPI).</w:t>
      </w:r>
    </w:p>
    <w:p>
      <w:pPr>
        <w:numPr>
          <w:ilvl w:val="0"/>
          <w:numId w:val="1002"/>
        </w:numPr>
        <w:pStyle w:val="Compact"/>
      </w:pPr>
      <w:r>
        <w:t xml:space="preserve">Intellectual property developed specifically for the client during the term of this</w:t>
      </w:r>
      <w:r>
        <w:t xml:space="preserve"> </w:t>
      </w:r>
      <w:r>
        <w:t xml:space="preserve">Quotation Estimate</w:t>
      </w:r>
      <w:r>
        <w:t xml:space="preserve"> </w:t>
      </w:r>
      <w:r>
        <w:t xml:space="preserve">engagement shall vest in the client upon full payment. Pre-existing tools, methodologies, and frameworks of the</w:t>
      </w:r>
      <w:r>
        <w:t xml:space="preserve"> </w:t>
      </w:r>
      <w:r>
        <w:t xml:space="preserve">Systems Engineer</w:t>
      </w:r>
      <w:r>
        <w:t xml:space="preserve"> </w:t>
      </w:r>
      <w:r>
        <w:t xml:space="preserve">remain the property of Global Infrastructure Solutions Ltd.</w:t>
      </w:r>
    </w:p>
    <w:p>
      <w:pPr>
        <w:numPr>
          <w:ilvl w:val="0"/>
          <w:numId w:val="1002"/>
        </w:numPr>
        <w:pStyle w:val="Compact"/>
      </w:pPr>
      <w:r>
        <w:t xml:space="preserve">Termination: Either party may terminate the engagement with sixty (60) days written notice. In the event of early termination, the client shall be liable for all services rendered up to the termination date plus a 10% administrative fee.</w:t>
      </w:r>
    </w:p>
    <w:p>
      <w:pPr>
        <w:numPr>
          <w:ilvl w:val="0"/>
          <w:numId w:val="1002"/>
        </w:numPr>
        <w:pStyle w:val="Compact"/>
      </w:pPr>
      <w:r>
        <w:t xml:space="preserve">Force Majeure: Neither party shall be liable for delays or failures in performance resulting from natural disasters (including earthquakes common to the</w:t>
      </w:r>
      <w:r>
        <w:t xml:space="preserve"> </w:t>
      </w:r>
      <w:r>
        <w:t xml:space="preserve">Japan Osaka</w:t>
      </w:r>
      <w:r>
        <w:t xml:space="preserve"> </w:t>
      </w:r>
      <w:r>
        <w:t xml:space="preserve">region), government actions, or other events beyond reasonable control.</w:t>
      </w:r>
    </w:p>
    <w:p>
      <w:pPr>
        <w:numPr>
          <w:ilvl w:val="0"/>
          <w:numId w:val="1002"/>
        </w:numPr>
        <w:pStyle w:val="Compact"/>
      </w:pPr>
      <w:r>
        <w:t xml:space="preserve">Governing Law: This</w:t>
      </w:r>
      <w:r>
        <w:t xml:space="preserve"> </w:t>
      </w:r>
      <w:r>
        <w:t xml:space="preserve">Quotation Estimate</w:t>
      </w:r>
      <w:r>
        <w:t xml:space="preserve"> </w:t>
      </w:r>
      <w:r>
        <w:t xml:space="preserve">and any resulting contract shall be governed by and construed in accordance with the laws of Japan, with exclusive jurisdiction vested in the Osaka District Court.</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for the</w:t>
      </w:r>
      <w:r>
        <w:t xml:space="preserve"> </w:t>
      </w:r>
      <w:r>
        <w:t xml:space="preserve">Systems Engineer</w:t>
      </w:r>
      <w:r>
        <w:t xml:space="preserve"> </w:t>
      </w:r>
      <w:r>
        <w:t xml:space="preserve">services to be delivered in</w:t>
      </w:r>
      <w:r>
        <w:t xml:space="preserve"> </w:t>
      </w:r>
      <w:r>
        <w:t xml:space="preserve">Japan Osaka</w:t>
      </w:r>
      <w:r>
        <w:t xml:space="preserve">. This signature constitutes formal acceptance and authorizes Global Infrastructure Solutions Ltd. to proceed with resource allocation and project mobilization.</w:t>
      </w:r>
    </w:p>
    <w:p>
      <w:pPr>
        <w:pStyle w:val="BodyText"/>
      </w:pPr>
      <w:r>
        <w:rPr>
          <w:bCs/>
          <w:b/>
        </w:rPr>
        <w:t xml:space="preserve">For Global Infrastructure Solutions Ltd.</w:t>
      </w:r>
      <w:r>
        <w:br/>
      </w:r>
      <w:r>
        <w:t xml:space="preserve">Name: ___________________________</w:t>
      </w:r>
      <w:r>
        <w:br/>
      </w:r>
      <w:r>
        <w:t xml:space="preserve">Title: Director, Japan Operations</w:t>
      </w:r>
      <w:r>
        <w:br/>
      </w:r>
      <w:r>
        <w:t xml:space="preserve">Signature: _______________________</w:t>
      </w:r>
      <w:r>
        <w:br/>
      </w:r>
      <w:r>
        <w:t xml:space="preserve">Date: ___________________________</w:t>
      </w:r>
    </w:p>
    <w:p>
      <w:pPr>
        <w:pStyle w:val="BodyText"/>
      </w:pPr>
      <w:r>
        <w:rPr>
          <w:bCs/>
          <w:b/>
        </w:rPr>
        <w:t xml:space="preserve">For the Client (Japan Osaka)</w:t>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t xml:space="preserve">Global Infrastructure Solutions Ltd. | Osaka Office: 3-2-1 Umeda, Kita-ku, Osaka 530-0001, Japan</w:t>
      </w:r>
    </w:p>
    <w:p>
      <w:pPr>
        <w:pStyle w:val="BodyText"/>
      </w:pPr>
      <w:r>
        <w:t xml:space="preserve">Tel: +81-6-XXXX-XXXX | Email: osaka@globalinfra-solutions.jp</w:t>
      </w:r>
    </w:p>
    <w:p>
      <w:pPr>
        <w:pStyle w:val="BodyText"/>
      </w:pPr>
      <w:r>
        <w:t xml:space="preserve">This Quotation Estimate is the property of Global Infrastructure Solutions Ltd. and is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 Japan Osaka</dc:title>
  <dc:creator/>
  <dc:language>en</dc:language>
  <cp:keywords/>
  <dcterms:created xsi:type="dcterms:W3CDTF">2026-10-10T04:01:26Z</dcterms:created>
  <dcterms:modified xsi:type="dcterms:W3CDTF">2026-10-10T04:01:26Z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