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Systems</w:t>
      </w:r>
      <w:r>
        <w:t xml:space="preserve"> </w:t>
      </w:r>
      <w:r>
        <w:t xml:space="preserve">Engineer</w:t>
      </w:r>
      <w:r>
        <w:t xml:space="preserve"> </w:t>
      </w:r>
      <w:r>
        <w:t xml:space="preserve">-</w:t>
      </w:r>
      <w:r>
        <w:t xml:space="preserve"> </w:t>
      </w:r>
      <w:r>
        <w:t xml:space="preserve">Kazakhstan</w:t>
      </w:r>
      <w:r>
        <w:t xml:space="preserve"> </w:t>
      </w:r>
      <w:r>
        <w:t xml:space="preserve">Almaty</w:t>
      </w:r>
    </w:p>
    <w:bookmarkStart w:id="20" w:name="technova-solutions-llp"/>
    <w:p>
      <w:pPr>
        <w:pStyle w:val="Heading1"/>
      </w:pPr>
      <w:r>
        <w:t xml:space="preserve">TECHNOVA SOLUTIONS LLP</w:t>
      </w:r>
    </w:p>
    <w:p>
      <w:pPr>
        <w:pStyle w:val="FirstParagraph"/>
      </w:pPr>
      <w:r>
        <w:t xml:space="preserve">45 Abai Avenue, Office 1204, Almaty, 050040, Republic of Kazakhstan</w:t>
      </w:r>
      <w:r>
        <w:br/>
      </w:r>
      <w:r>
        <w:t xml:space="preserve">Tel: +7 (727) 312-4567 | Email: quotations@technova-kz.com</w:t>
      </w:r>
      <w:r>
        <w:br/>
      </w:r>
      <w:r>
        <w:t xml:space="preserve">BIN: 990700012345 | IIN: 990700012345</w:t>
      </w:r>
    </w:p>
    <w:bookmarkEnd w:id="20"/>
    <w:bookmarkStart w:id="21" w:name="quotation-estimate"/>
    <w:p>
      <w:pPr>
        <w:pStyle w:val="Heading2"/>
      </w:pPr>
      <w:r>
        <w:t xml:space="preserve">QUOTATION ESTIMATE</w:t>
      </w:r>
    </w:p>
    <w:p>
      <w:pPr>
        <w:pStyle w:val="FirstParagraph"/>
      </w:pPr>
      <w:r>
        <w:t xml:space="preserve">Professional Systems Engineer Services – Kazakhstan Almaty</w:t>
      </w:r>
    </w:p>
    <w:bookmarkEnd w:id="21"/>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Quotation Estimate No.:</w:t>
            </w:r>
            <w:r>
              <w:t xml:space="preserve"> </w:t>
            </w:r>
            <w:r>
              <w:t xml:space="preserve">QTE-2025-ALM-0487</w:t>
            </w:r>
          </w:p>
        </w:tc>
        <w:tc>
          <w:tcPr/>
          <w:p>
            <w:pPr>
              <w:pStyle w:val="Compact"/>
              <w:jc w:val="left"/>
            </w:pPr>
            <w:r>
              <w:rPr>
                <w:bCs/>
                <w:b/>
              </w:rPr>
              <w:t xml:space="preserve">Date of Issue:</w:t>
            </w:r>
            <w:r>
              <w:t xml:space="preserve"> </w:t>
            </w:r>
            <w:r>
              <w:t xml:space="preserve">14 June 2025</w:t>
            </w:r>
          </w:p>
        </w:tc>
      </w:tr>
      <w:tr>
        <w:tc>
          <w:tcPr/>
          <w:p>
            <w:pPr>
              <w:pStyle w:val="Compact"/>
              <w:jc w:val="left"/>
            </w:pPr>
            <w:r>
              <w:rPr>
                <w:bCs/>
                <w:b/>
              </w:rPr>
              <w:t xml:space="preserve">Valid Until:</w:t>
            </w:r>
            <w:r>
              <w:t xml:space="preserve"> </w:t>
            </w:r>
            <w:r>
              <w:t xml:space="preserve">14 July 2025 (30 calendar days)</w:t>
            </w:r>
          </w:p>
        </w:tc>
        <w:tc>
          <w:tcPr/>
          <w:p>
            <w:pPr>
              <w:pStyle w:val="Compact"/>
              <w:jc w:val="left"/>
            </w:pPr>
            <w:r>
              <w:rPr>
                <w:bCs/>
                <w:b/>
              </w:rPr>
              <w:t xml:space="preserve">Prepared By:</w:t>
            </w:r>
            <w:r>
              <w:t xml:space="preserve"> </w:t>
            </w:r>
            <w:r>
              <w:t xml:space="preserve">D. Serikbayev, Senior Account Manager</w:t>
            </w:r>
          </w:p>
        </w:tc>
      </w:tr>
      <w:tr>
        <w:tc>
          <w:tcPr/>
          <w:p>
            <w:pPr>
              <w:pStyle w:val="Compact"/>
              <w:jc w:val="left"/>
            </w:pPr>
            <w:r>
              <w:rPr>
                <w:bCs/>
                <w:b/>
              </w:rPr>
              <w:t xml:space="preserve">Client:</w:t>
            </w:r>
            <w:r>
              <w:t xml:space="preserve"> </w:t>
            </w:r>
            <w:r>
              <w:t xml:space="preserve">Astana Digital Infrastructure JSC</w:t>
            </w:r>
          </w:p>
        </w:tc>
        <w:tc>
          <w:tcPr/>
          <w:p>
            <w:pPr>
              <w:pStyle w:val="Compact"/>
              <w:jc w:val="left"/>
            </w:pPr>
            <w:r>
              <w:rPr>
                <w:bCs/>
                <w:b/>
              </w:rPr>
              <w:t xml:space="preserve">Client Address:</w:t>
            </w:r>
            <w:r>
              <w:t xml:space="preserve"> </w:t>
            </w:r>
            <w:r>
              <w:t xml:space="preserve">2/4 Dostyk Avenue, Almaty, 050000, Kazakhstan</w:t>
            </w:r>
          </w:p>
        </w:tc>
      </w:tr>
      <w:tr>
        <w:tc>
          <w:tcPr/>
          <w:p>
            <w:pPr>
              <w:pStyle w:val="Compact"/>
              <w:jc w:val="left"/>
            </w:pPr>
            <w:r>
              <w:rPr>
                <w:bCs/>
                <w:b/>
              </w:rPr>
              <w:t xml:space="preserve">Project Location:</w:t>
            </w:r>
            <w:r>
              <w:t xml:space="preserve"> </w:t>
            </w:r>
            <w:r>
              <w:t xml:space="preserve">Kazakhstan Almaty – Central Business District</w:t>
            </w:r>
          </w:p>
        </w:tc>
        <w:tc>
          <w:tcPr/>
          <w:p>
            <w:pPr>
              <w:pStyle w:val="Compact"/>
              <w:jc w:val="left"/>
            </w:pPr>
            <w:r>
              <w:rPr>
                <w:bCs/>
                <w:b/>
              </w:rPr>
              <w:t xml:space="preserve">Project Duration:</w:t>
            </w:r>
            <w:r>
              <w:t xml:space="preserve"> </w:t>
            </w:r>
            <w:r>
              <w:t xml:space="preserve">12 months (with optional 6-month extension)</w:t>
            </w:r>
          </w:p>
        </w:tc>
      </w:tr>
    </w:tbl>
    <w:bookmarkStart w:id="22" w:name="purpose-of-this-quotation-estimate"/>
    <w:p>
      <w:pPr>
        <w:pStyle w:val="Heading3"/>
      </w:pPr>
      <w:r>
        <w:t xml:space="preserve">1. PURPOSE OF THIS QUOTATION ESTIMATE</w:t>
      </w:r>
    </w:p>
    <w:p>
      <w:pPr>
        <w:pStyle w:val="FirstParagraph"/>
      </w:pPr>
      <w:r>
        <w:t xml:space="preserve">This Quotation Estimate is issued by Technova Solutions LLP to provide a comprehensive, itemized cost breakdown for the engagement of a certified Systems Engineer to support the ongoing IT infrastructure modernization program at the client's primary data center and distributed office network located in Kazakhstan Almaty. The Systems Engineer will be responsible for the design, deployment, monitoring, and maintenance of enterprise-grade server systems, network architectures, virtualization platforms, and cloud-hybrid environments. This Quotation Estimate reflects current market rates for qualified Systems Engineer professionals operating within the Kazakhstan Almaty technology sector, adjusted for the specific scope, complexity, and regulatory requirements applicable to the Republic of Kazakhstan.</w:t>
      </w:r>
    </w:p>
    <w:bookmarkEnd w:id="22"/>
    <w:bookmarkStart w:id="23" w:name="X09324f8132ad998e68702bab1861d90e0f3de50"/>
    <w:p>
      <w:pPr>
        <w:pStyle w:val="Heading3"/>
      </w:pPr>
      <w:r>
        <w:t xml:space="preserve">2. SCOPE OF SERVICES – SYSTEMS ENGINEER ENGAGEMENT</w:t>
      </w:r>
    </w:p>
    <w:p>
      <w:pPr>
        <w:pStyle w:val="FirstParagraph"/>
      </w:pPr>
      <w:r>
        <w:t xml:space="preserve">The Systems Engineer engaged under this Quotation Estimate shall perform the following duties and responsibilities throughout the contract period in Kazakhstan Almaty:</w:t>
      </w:r>
    </w:p>
    <w:p>
      <w:pPr>
        <w:numPr>
          <w:ilvl w:val="0"/>
          <w:numId w:val="1001"/>
        </w:numPr>
        <w:pStyle w:val="Compact"/>
      </w:pPr>
      <w:r>
        <w:t xml:space="preserve">Architectural design and implementation of on-premise and cloud-based server infrastructure (VMware vSphere, Microsoft Hyper-V, and OpenStack environments).</w:t>
      </w:r>
    </w:p>
    <w:p>
      <w:pPr>
        <w:numPr>
          <w:ilvl w:val="0"/>
          <w:numId w:val="1001"/>
        </w:numPr>
        <w:pStyle w:val="Compact"/>
      </w:pPr>
      <w:r>
        <w:t xml:space="preserve">Configuration, tuning, and ongoing management of enterprise network switches, firewalls, load balancers, and DNS/DHCP services across all Kazakhstan Almaty office locations.</w:t>
      </w:r>
    </w:p>
    <w:p>
      <w:pPr>
        <w:numPr>
          <w:ilvl w:val="0"/>
          <w:numId w:val="1001"/>
        </w:numPr>
        <w:pStyle w:val="Compact"/>
      </w:pPr>
      <w:r>
        <w:t xml:space="preserve">Development and execution of disaster recovery and business continuity plans compliant with Kazakhstan's national data protection regulations (Law No. 98-V on Personal Data).</w:t>
      </w:r>
    </w:p>
    <w:p>
      <w:pPr>
        <w:numPr>
          <w:ilvl w:val="0"/>
          <w:numId w:val="1001"/>
        </w:numPr>
        <w:pStyle w:val="Compact"/>
      </w:pPr>
      <w:r>
        <w:t xml:space="preserve">Provisioning and lifecycle management of physical and virtual servers, including OS patching, firmware updates, and hardware replacement coordination.</w:t>
      </w:r>
    </w:p>
    <w:p>
      <w:pPr>
        <w:numPr>
          <w:ilvl w:val="0"/>
          <w:numId w:val="1001"/>
        </w:numPr>
        <w:pStyle w:val="Compact"/>
      </w:pPr>
      <w:r>
        <w:t xml:space="preserve">Implementation of automated monitoring and alerting systems (Nagios, Zabbix, or equivalent) with 24/7 coverage for critical infrastructure components.</w:t>
      </w:r>
    </w:p>
    <w:p>
      <w:pPr>
        <w:numPr>
          <w:ilvl w:val="0"/>
          <w:numId w:val="1001"/>
        </w:numPr>
        <w:pStyle w:val="Compact"/>
      </w:pPr>
      <w:r>
        <w:t xml:space="preserve">Capacity planning, performance benchmarking, and quarterly infrastructure health reports delivered to the client's CIO office in Kazakhstan Almaty.</w:t>
      </w:r>
    </w:p>
    <w:p>
      <w:pPr>
        <w:numPr>
          <w:ilvl w:val="0"/>
          <w:numId w:val="1001"/>
        </w:numPr>
        <w:pStyle w:val="Compact"/>
      </w:pPr>
      <w:r>
        <w:t xml:space="preserve">Security hardening of all Systems Engineer-managed assets in accordance with CIS benchmarks and Kazakhstan's National Cybersecurity Agency guidelines.</w:t>
      </w:r>
    </w:p>
    <w:p>
      <w:pPr>
        <w:numPr>
          <w:ilvl w:val="0"/>
          <w:numId w:val="1001"/>
        </w:numPr>
        <w:pStyle w:val="Compact"/>
      </w:pPr>
      <w:r>
        <w:t xml:space="preserve">Mentoring and knowledge transfer to the client's in-house junior IT staff to ensure sustainable operational capability post-engagement.</w:t>
      </w:r>
    </w:p>
    <w:bookmarkEnd w:id="23"/>
    <w:bookmarkStart w:id="24" w:name="itemized-cost-breakdown"/>
    <w:p>
      <w:pPr>
        <w:pStyle w:val="Heading3"/>
      </w:pPr>
      <w:r>
        <w:t xml:space="preserve">3. ITEMIZED COST BREAKDOWN</w:t>
      </w:r>
    </w:p>
    <w:tbl>
      <w:tblPr>
        <w:tblStyle w:val="Table"/>
        <w:tblW w:type="auto" w:w="0"/>
        <w:tblLook w:firstRow="1" w:lastRow="1"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center"/>
            </w:pPr>
            <w:r>
              <w:t xml:space="preserve">Qty</w:t>
            </w:r>
          </w:p>
        </w:tc>
        <w:tc>
          <w:tcPr/>
          <w:p>
            <w:pPr>
              <w:pStyle w:val="Compact"/>
              <w:jc w:val="right"/>
            </w:pPr>
            <w:r>
              <w:t xml:space="preserve">Unit Cost (KZT)</w:t>
            </w:r>
          </w:p>
        </w:tc>
        <w:tc>
          <w:tcPr/>
          <w:p>
            <w:pPr>
              <w:pStyle w:val="Compact"/>
              <w:jc w:val="right"/>
            </w:pPr>
            <w:r>
              <w:t xml:space="preserve">Total (KZT)</w:t>
            </w:r>
          </w:p>
        </w:tc>
      </w:tr>
      <w:tr>
        <w:tc>
          <w:tcPr/>
          <w:p>
            <w:pPr>
              <w:pStyle w:val="Compact"/>
              <w:jc w:val="left"/>
            </w:pPr>
            <w:r>
              <w:t xml:space="preserve">1</w:t>
            </w:r>
          </w:p>
        </w:tc>
        <w:tc>
          <w:tcPr/>
          <w:p>
            <w:pPr>
              <w:pStyle w:val="Compact"/>
              <w:jc w:val="left"/>
            </w:pPr>
            <w:r>
              <w:t xml:space="preserve">Senior Systems Engineer – Monthly Retainer (12 months)</w:t>
            </w:r>
          </w:p>
        </w:tc>
        <w:tc>
          <w:tcPr/>
          <w:p>
            <w:pPr>
              <w:pStyle w:val="Compact"/>
              <w:jc w:val="center"/>
            </w:pPr>
            <w:r>
              <w:t xml:space="preserve">12</w:t>
            </w:r>
          </w:p>
        </w:tc>
        <w:tc>
          <w:tcPr/>
          <w:p>
            <w:pPr>
              <w:pStyle w:val="Compact"/>
              <w:jc w:val="right"/>
            </w:pPr>
            <w:r>
              <w:t xml:space="preserve">1,850,000</w:t>
            </w:r>
          </w:p>
        </w:tc>
        <w:tc>
          <w:tcPr/>
          <w:p>
            <w:pPr>
              <w:pStyle w:val="Compact"/>
              <w:jc w:val="right"/>
            </w:pPr>
            <w:r>
              <w:t xml:space="preserve">22,200,000</w:t>
            </w:r>
          </w:p>
        </w:tc>
      </w:tr>
      <w:tr>
        <w:tc>
          <w:tcPr/>
          <w:p>
            <w:pPr>
              <w:pStyle w:val="Compact"/>
              <w:jc w:val="left"/>
            </w:pPr>
            <w:r>
              <w:t xml:space="preserve">2</w:t>
            </w:r>
          </w:p>
        </w:tc>
        <w:tc>
          <w:tcPr/>
          <w:p>
            <w:pPr>
              <w:pStyle w:val="Compact"/>
              <w:jc w:val="left"/>
            </w:pPr>
            <w:r>
              <w:t xml:space="preserve">Initial Infrastructure Audit &amp; Assessment (one-time, Kazakhstan Almaty sites)</w:t>
            </w:r>
          </w:p>
        </w:tc>
        <w:tc>
          <w:tcPr/>
          <w:p>
            <w:pPr>
              <w:pStyle w:val="Compact"/>
              <w:jc w:val="center"/>
            </w:pPr>
            <w:r>
              <w:t xml:space="preserve">1</w:t>
            </w:r>
          </w:p>
        </w:tc>
        <w:tc>
          <w:tcPr/>
          <w:p>
            <w:pPr>
              <w:pStyle w:val="Compact"/>
              <w:jc w:val="right"/>
            </w:pPr>
            <w:r>
              <w:t xml:space="preserve">4,500,000</w:t>
            </w:r>
          </w:p>
        </w:tc>
        <w:tc>
          <w:tcPr/>
          <w:p>
            <w:pPr>
              <w:pStyle w:val="Compact"/>
              <w:jc w:val="right"/>
            </w:pPr>
            <w:r>
              <w:t xml:space="preserve">4,500,000</w:t>
            </w:r>
          </w:p>
        </w:tc>
      </w:tr>
      <w:tr>
        <w:tc>
          <w:tcPr/>
          <w:p>
            <w:pPr>
              <w:pStyle w:val="Compact"/>
              <w:jc w:val="left"/>
            </w:pPr>
            <w:r>
              <w:t xml:space="preserve">3</w:t>
            </w:r>
          </w:p>
        </w:tc>
        <w:tc>
          <w:tcPr/>
          <w:p>
            <w:pPr>
              <w:pStyle w:val="Compact"/>
              <w:jc w:val="left"/>
            </w:pPr>
            <w:r>
              <w:t xml:space="preserve">Emergency On-Call Support (24/7, up to 40 hours/month)</w:t>
            </w:r>
          </w:p>
        </w:tc>
        <w:tc>
          <w:tcPr/>
          <w:p>
            <w:pPr>
              <w:pStyle w:val="Compact"/>
              <w:jc w:val="center"/>
            </w:pPr>
            <w:r>
              <w:t xml:space="preserve">12</w:t>
            </w:r>
          </w:p>
        </w:tc>
        <w:tc>
          <w:tcPr/>
          <w:p>
            <w:pPr>
              <w:pStyle w:val="Compact"/>
              <w:jc w:val="right"/>
            </w:pPr>
            <w:r>
              <w:t xml:space="preserve">320,000</w:t>
            </w:r>
          </w:p>
        </w:tc>
        <w:tc>
          <w:tcPr/>
          <w:p>
            <w:pPr>
              <w:pStyle w:val="Compact"/>
              <w:jc w:val="right"/>
            </w:pPr>
            <w:r>
              <w:t xml:space="preserve">3,840,000</w:t>
            </w:r>
          </w:p>
        </w:tc>
      </w:tr>
      <w:tr>
        <w:tc>
          <w:tcPr/>
          <w:p>
            <w:pPr>
              <w:pStyle w:val="Compact"/>
              <w:jc w:val="left"/>
            </w:pPr>
            <w:r>
              <w:t xml:space="preserve">4</w:t>
            </w:r>
          </w:p>
        </w:tc>
        <w:tc>
          <w:tcPr/>
          <w:p>
            <w:pPr>
              <w:pStyle w:val="Compact"/>
              <w:jc w:val="left"/>
            </w:pPr>
            <w:r>
              <w:t xml:space="preserve">Quarterly Performance &amp; Capacity Reports (4 reports)</w:t>
            </w:r>
          </w:p>
        </w:tc>
        <w:tc>
          <w:tcPr/>
          <w:p>
            <w:pPr>
              <w:pStyle w:val="Compact"/>
              <w:jc w:val="center"/>
            </w:pPr>
            <w:r>
              <w:t xml:space="preserve">4</w:t>
            </w:r>
          </w:p>
        </w:tc>
        <w:tc>
          <w:tcPr/>
          <w:p>
            <w:pPr>
              <w:pStyle w:val="Compact"/>
              <w:jc w:val="right"/>
            </w:pPr>
            <w:r>
              <w:t xml:space="preserve">280,000</w:t>
            </w:r>
          </w:p>
        </w:tc>
        <w:tc>
          <w:tcPr/>
          <w:p>
            <w:pPr>
              <w:pStyle w:val="Compact"/>
              <w:jc w:val="right"/>
            </w:pPr>
            <w:r>
              <w:t xml:space="preserve">1,120,000</w:t>
            </w:r>
          </w:p>
        </w:tc>
      </w:tr>
      <w:tr>
        <w:tc>
          <w:tcPr/>
          <w:p>
            <w:pPr>
              <w:pStyle w:val="Compact"/>
              <w:jc w:val="left"/>
            </w:pPr>
            <w:r>
              <w:t xml:space="preserve">5</w:t>
            </w:r>
          </w:p>
        </w:tc>
        <w:tc>
          <w:tcPr/>
          <w:p>
            <w:pPr>
              <w:pStyle w:val="Compact"/>
              <w:jc w:val="left"/>
            </w:pPr>
            <w:r>
              <w:t xml:space="preserve">Knowledge Transfer Sessions &amp; Documentation (6 sessions)</w:t>
            </w:r>
          </w:p>
        </w:tc>
        <w:tc>
          <w:tcPr/>
          <w:p>
            <w:pPr>
              <w:pStyle w:val="Compact"/>
              <w:jc w:val="center"/>
            </w:pPr>
            <w:r>
              <w:t xml:space="preserve">6</w:t>
            </w:r>
          </w:p>
        </w:tc>
        <w:tc>
          <w:tcPr/>
          <w:p>
            <w:pPr>
              <w:pStyle w:val="Compact"/>
              <w:jc w:val="right"/>
            </w:pPr>
            <w:r>
              <w:t xml:space="preserve">195,000</w:t>
            </w:r>
          </w:p>
        </w:tc>
        <w:tc>
          <w:tcPr/>
          <w:p>
            <w:pPr>
              <w:pStyle w:val="Compact"/>
              <w:jc w:val="right"/>
            </w:pPr>
            <w:r>
              <w:t xml:space="preserve">1,170,000</w:t>
            </w:r>
          </w:p>
        </w:tc>
      </w:tr>
      <w:tr>
        <w:tc>
          <w:tcPr/>
          <w:p>
            <w:pPr>
              <w:pStyle w:val="Compact"/>
              <w:jc w:val="left"/>
            </w:pPr>
            <w:r>
              <w:t xml:space="preserve">6</w:t>
            </w:r>
          </w:p>
        </w:tc>
        <w:tc>
          <w:tcPr/>
          <w:p>
            <w:pPr>
              <w:pStyle w:val="Compact"/>
              <w:jc w:val="left"/>
            </w:pPr>
            <w:r>
              <w:t xml:space="preserve">Travel &amp; Local Transport within Kazakhstan Almaty (monthly allowance)</w:t>
            </w:r>
          </w:p>
        </w:tc>
        <w:tc>
          <w:tcPr/>
          <w:p>
            <w:pPr>
              <w:pStyle w:val="Compact"/>
              <w:jc w:val="center"/>
            </w:pPr>
            <w:r>
              <w:t xml:space="preserve">12</w:t>
            </w:r>
          </w:p>
        </w:tc>
        <w:tc>
          <w:tcPr/>
          <w:p>
            <w:pPr>
              <w:pStyle w:val="Compact"/>
              <w:jc w:val="right"/>
            </w:pPr>
            <w:r>
              <w:t xml:space="preserve">85,000</w:t>
            </w:r>
          </w:p>
        </w:tc>
        <w:tc>
          <w:tcPr/>
          <w:p>
            <w:pPr>
              <w:pStyle w:val="Compact"/>
              <w:jc w:val="right"/>
            </w:pPr>
            <w:r>
              <w:t xml:space="preserve">1,020,000</w:t>
            </w:r>
          </w:p>
        </w:tc>
      </w:tr>
      <w:tr>
        <w:tc>
          <w:tcPr>
            <w:gridSpan w:val="4"/>
          </w:tcPr>
          <w:p>
            <w:pPr>
              <w:pStyle w:val="Compact"/>
              <w:jc w:val="right"/>
            </w:pPr>
            <w:r>
              <w:t xml:space="preserve">Subtotal (KZT):</w:t>
            </w:r>
          </w:p>
        </w:tc>
        <w:tc>
          <w:tcPr/>
          <w:p>
            <w:pPr>
              <w:pStyle w:val="Compact"/>
              <w:jc w:val="right"/>
            </w:pPr>
            <w:r>
              <w:t xml:space="preserve">33,850,000</w:t>
            </w:r>
          </w:p>
        </w:tc>
      </w:tr>
      <w:tr>
        <w:tc>
          <w:tcPr>
            <w:gridSpan w:val="4"/>
          </w:tcPr>
          <w:p>
            <w:pPr>
              <w:pStyle w:val="Compact"/>
              <w:jc w:val="right"/>
            </w:pPr>
            <w:r>
              <w:t xml:space="preserve">VAT 12% (KZT):</w:t>
            </w:r>
          </w:p>
        </w:tc>
        <w:tc>
          <w:tcPr/>
          <w:p>
            <w:pPr>
              <w:pStyle w:val="Compact"/>
              <w:jc w:val="right"/>
            </w:pPr>
            <w:r>
              <w:t xml:space="preserve">4,062,000</w:t>
            </w:r>
          </w:p>
        </w:tc>
      </w:tr>
      <w:tr>
        <w:tc>
          <w:tcPr>
            <w:gridSpan w:val="4"/>
          </w:tcPr>
          <w:p>
            <w:pPr>
              <w:pStyle w:val="Compact"/>
              <w:jc w:val="right"/>
            </w:pPr>
            <w:r>
              <w:t xml:space="preserve">GRAND TOTAL (KZT):</w:t>
            </w:r>
          </w:p>
        </w:tc>
        <w:tc>
          <w:tcPr/>
          <w:p>
            <w:pPr>
              <w:pStyle w:val="Compact"/>
              <w:jc w:val="right"/>
            </w:pPr>
            <w:r>
              <w:t xml:space="preserve">37,912,000</w:t>
            </w:r>
          </w:p>
        </w:tc>
      </w:tr>
    </w:tbl>
    <w:p>
      <w:pPr>
        <w:pStyle w:val="BodyText"/>
      </w:pPr>
      <w:r>
        <w:t xml:space="preserve">* All amounts are quoted in Kazakhstani Tenge (KZT). Approximate USD equivalent at current exchange rate: ~$82,400. Rates are fixed for the validity period of this Quotation Estimate.</w:t>
      </w:r>
    </w:p>
    <w:bookmarkEnd w:id="24"/>
    <w:bookmarkStart w:id="25" w:name="terms-and-conditions"/>
    <w:p>
      <w:pPr>
        <w:pStyle w:val="Heading3"/>
      </w:pPr>
      <w:r>
        <w:t xml:space="preserve">4. TERMS AND CONDITIONS</w:t>
      </w:r>
    </w:p>
    <w:p>
      <w:pPr>
        <w:numPr>
          <w:ilvl w:val="0"/>
          <w:numId w:val="1002"/>
        </w:numPr>
        <w:pStyle w:val="Compact"/>
      </w:pPr>
      <w:r>
        <w:t xml:space="preserve">This Quotation Estimate is valid for thirty (30) calendar days from the date of issue. After expiry, pricing for the Systems Engineer engagement may be subject to revision based on market conditions in Kazakhstan Almaty.</w:t>
      </w:r>
    </w:p>
    <w:p>
      <w:pPr>
        <w:numPr>
          <w:ilvl w:val="0"/>
          <w:numId w:val="1002"/>
        </w:numPr>
        <w:pStyle w:val="Compact"/>
      </w:pPr>
      <w:r>
        <w:t xml:space="preserve">Payment terms: 40% advance upon signing of the Service Agreement, 50% upon completion of the initial infrastructure audit, and 10% upon final acceptance of the 12-month engagement deliverables.</w:t>
      </w:r>
    </w:p>
    <w:p>
      <w:pPr>
        <w:numPr>
          <w:ilvl w:val="0"/>
          <w:numId w:val="1002"/>
        </w:numPr>
        <w:pStyle w:val="Compact"/>
      </w:pPr>
      <w:r>
        <w:t xml:space="preserve">Invoices shall be issued monthly in arrears for the Systems Engineer retainer and on-call support components. Payment is due within fifteen (15) business days of invoice date via bank transfer to the account specified in the Service Agreement.</w:t>
      </w:r>
    </w:p>
    <w:p>
      <w:pPr>
        <w:numPr>
          <w:ilvl w:val="0"/>
          <w:numId w:val="1002"/>
        </w:numPr>
        <w:pStyle w:val="Compact"/>
      </w:pPr>
      <w:r>
        <w:t xml:space="preserve">The Systems Engineer shall comply with all applicable laws of the Republic of Kazakhstan, including but not limited to labor regulations, data protection statutes, and cybersecurity directives issued by the relevant governmental bodies.</w:t>
      </w:r>
    </w:p>
    <w:p>
      <w:pPr>
        <w:numPr>
          <w:ilvl w:val="0"/>
          <w:numId w:val="1002"/>
        </w:numPr>
        <w:pStyle w:val="Compact"/>
      </w:pPr>
      <w:r>
        <w:t xml:space="preserve">Confidentiality: All information, data, and documentation accessed by the Systems Engineer during the engagement in Kazakhstan Almaty shall be treated as strictly confidential and subject to a mutual Non-Disclosure Agreement (NDA) executed prior to commencement of work.</w:t>
      </w:r>
    </w:p>
    <w:p>
      <w:pPr>
        <w:numPr>
          <w:ilvl w:val="0"/>
          <w:numId w:val="1002"/>
        </w:numPr>
        <w:pStyle w:val="Compact"/>
      </w:pPr>
      <w:r>
        <w:t xml:space="preserve">Liability: Technova Solutions LLP's total liability under this Quotation Estimate shall not exceed the total contract value. Neither party shall be liable for indirect, consequential, or punitive damages.</w:t>
      </w:r>
    </w:p>
    <w:p>
      <w:pPr>
        <w:numPr>
          <w:ilvl w:val="0"/>
          <w:numId w:val="1002"/>
        </w:numPr>
        <w:pStyle w:val="Compact"/>
      </w:pPr>
      <w:r>
        <w:t xml:space="preserve">Termination: Either party may terminate the engagement with thirty (30) days' written notice. In the event of early termination, the client shall pay for all services rendered up to the termination date.</w:t>
      </w:r>
    </w:p>
    <w:p>
      <w:pPr>
        <w:numPr>
          <w:ilvl w:val="0"/>
          <w:numId w:val="1002"/>
        </w:numPr>
        <w:pStyle w:val="Compact"/>
      </w:pPr>
      <w:r>
        <w:t xml:space="preserve">Dispute resolution: Any disputes arising from this Quotation Estimate or the resulting Service Agreement shall be resolved through arbitration in Almaty, Kazakhstan, in accordance with the rules of the Almaty International Arbitration Centre.</w:t>
      </w:r>
    </w:p>
    <w:bookmarkEnd w:id="25"/>
    <w:bookmarkStart w:id="26" w:name="acceptance-and-authorization"/>
    <w:p>
      <w:pPr>
        <w:pStyle w:val="Heading3"/>
      </w:pPr>
      <w:r>
        <w:t xml:space="preserve">5. ACCEPTANCE AND AUTHORIZATION</w:t>
      </w:r>
    </w:p>
    <w:p>
      <w:pPr>
        <w:pStyle w:val="FirstParagraph"/>
      </w:pPr>
      <w:r>
        <w:t xml:space="preserve">By signing below, the client acknowledges receipt of this Quotation Estimate and agrees to the terms, scope, and pricing outlined herein for the Systems Engineer services to be delivered in Kazakhstan Almaty. This Quotation Estimate, once countersigned, shall serve as the basis for the formal Service Agreement between the parties.</w:t>
      </w:r>
    </w:p>
    <w:tbl>
      <w:tblPr>
        <w:tblStyle w:val="Table"/>
        <w:tblW w:type="pct" w:w="5000"/>
        <w:tblLook w:firstRow="0" w:lastRow="0" w:firstColumn="0" w:lastColumn="0" w:noHBand="0" w:noVBand="0" w:val="0000"/>
      </w:tblPr>
      <w:tblGrid>
        <w:gridCol w:w="3960"/>
        <w:gridCol w:w="3960"/>
      </w:tblGrid>
      <w:tr>
        <w:tc>
          <w:tcPr/>
          <w:p>
            <w:pPr>
              <w:jc w:val="left"/>
            </w:pPr>
            <w:r>
              <w:rPr>
                <w:bCs/>
                <w:b/>
              </w:rPr>
              <w:t xml:space="preserve">For Technova Solutions LLP:</w:t>
            </w:r>
          </w:p>
          <w:p>
            <w:pPr>
              <w:jc w:val="left"/>
            </w:pPr>
            <w:r>
              <w:t xml:space="preserve">Signature: ___________________________</w:t>
            </w:r>
          </w:p>
          <w:p>
            <w:pPr>
              <w:jc w:val="left"/>
            </w:pPr>
            <w:r>
              <w:t xml:space="preserve">Name: D. Serikbayev</w:t>
            </w:r>
          </w:p>
          <w:p>
            <w:pPr>
              <w:jc w:val="left"/>
            </w:pPr>
            <w:r>
              <w:t xml:space="preserve">Title: Senior Account Manager</w:t>
            </w:r>
          </w:p>
          <w:p>
            <w:pPr>
              <w:jc w:val="left"/>
            </w:pPr>
            <w:r>
              <w:t xml:space="preserve">Date: ___________________________</w:t>
            </w:r>
          </w:p>
        </w:tc>
        <w:tc>
          <w:tcPr/>
          <w:p>
            <w:pPr>
              <w:jc w:val="left"/>
            </w:pPr>
            <w:r>
              <w:rPr>
                <w:bCs/>
                <w:b/>
              </w:rPr>
              <w:t xml:space="preserve">For Astana Digital Infrastructure JSC:</w:t>
            </w:r>
          </w:p>
          <w:p>
            <w:pPr>
              <w:jc w:val="left"/>
            </w:pPr>
            <w:r>
              <w:t xml:space="preserve">Signature: ___________________________</w:t>
            </w:r>
          </w:p>
          <w:p>
            <w:pPr>
              <w:jc w:val="left"/>
            </w:pPr>
            <w:r>
              <w:t xml:space="preserve">Name: ___________________________</w:t>
            </w:r>
          </w:p>
          <w:p>
            <w:pPr>
              <w:jc w:val="left"/>
            </w:pPr>
            <w:r>
              <w:t xml:space="preserve">Title: ___________________________</w:t>
            </w:r>
          </w:p>
          <w:p>
            <w:pPr>
              <w:jc w:val="left"/>
            </w:pPr>
            <w:r>
              <w:t xml:space="preserve">Date: ___________________________</w:t>
            </w:r>
          </w:p>
        </w:tc>
      </w:tr>
    </w:tbl>
    <w:p>
      <w:pPr>
        <w:pStyle w:val="BodyText"/>
      </w:pPr>
      <w:r>
        <w:t xml:space="preserve">This Quotation Estimate document was prepared exclusively for the named client and is not transferable. Technova Solutions LLP reserves the right to amend terms upon written notice. Document reference: QTE-2025-ALM-0487. Generated in Almaty, Kazakhstan.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Systems Engineer - Kazakhstan Almaty</dc:title>
  <dc:creator/>
  <dc:language>en</dc:language>
  <cp:keywords/>
  <dcterms:created xsi:type="dcterms:W3CDTF">2026-10-10T05:08:15Z</dcterms:created>
  <dcterms:modified xsi:type="dcterms:W3CDTF">2026-10-10T05:08:15Z</dcterms:modified>
</cp:coreProperties>
</file>

<file path=docProps/custom.xml><?xml version="1.0" encoding="utf-8"?>
<Properties xmlns="http://schemas.openxmlformats.org/officeDocument/2006/custom-properties" xmlns:vt="http://schemas.openxmlformats.org/officeDocument/2006/docPropsVTypes"/>
</file>