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Systems</w:t>
      </w:r>
      <w:r>
        <w:t xml:space="preserve"> </w:t>
      </w:r>
      <w:r>
        <w:t xml:space="preserve">Engineer</w:t>
      </w:r>
      <w:r>
        <w:t xml:space="preserve"> </w:t>
      </w:r>
      <w:r>
        <w:t xml:space="preserve">-</w:t>
      </w:r>
      <w:r>
        <w:t xml:space="preserve"> </w:t>
      </w:r>
      <w:r>
        <w:t xml:space="preserve">Kuwait</w:t>
      </w:r>
      <w:r>
        <w:t xml:space="preserve"> </w:t>
      </w:r>
      <w:r>
        <w:t xml:space="preserve">Kuwait</w:t>
      </w:r>
      <w:r>
        <w:t xml:space="preserve"> </w:t>
      </w:r>
      <w:r>
        <w:t xml:space="preserve">City</w:t>
      </w:r>
    </w:p>
    <w:bookmarkStart w:id="20" w:name="quotation-estimate"/>
    <w:p>
      <w:pPr>
        <w:pStyle w:val="Heading1"/>
      </w:pPr>
      <w:r>
        <w:t xml:space="preserve">QUOTATION ESTIMATE</w:t>
      </w:r>
    </w:p>
    <w:p>
      <w:pPr>
        <w:pStyle w:val="FirstParagraph"/>
      </w:pPr>
      <w:r>
        <w:t xml:space="preserve">Professional Systems Engineer Services — Kuwait, Kuwait City</w:t>
      </w:r>
    </w:p>
    <w:p>
      <w:pPr>
        <w:pStyle w:val="BodyText"/>
      </w:pPr>
      <w:r>
        <w:t xml:space="preserve">Document Reference: QE-SE-KWT-2025-0047</w:t>
      </w:r>
    </w:p>
    <w:bookmarkEnd w:id="20"/>
    <w:p>
      <w:pPr>
        <w:pStyle w:val="BodyText"/>
      </w:pPr>
      <w:r>
        <w:rPr>
          <w:bCs/>
          <w:b/>
        </w:rPr>
        <w:t xml:space="preserve">Prepared For:</w:t>
      </w:r>
      <w:r>
        <w:br/>
      </w:r>
      <w:r>
        <w:t xml:space="preserve">Client Organization</w:t>
      </w:r>
      <w:r>
        <w:br/>
      </w:r>
      <w:r>
        <w:t xml:space="preserve">Kuwait City, Kuwait</w:t>
      </w:r>
      <w:r>
        <w:br/>
      </w:r>
      <w:r>
        <w:t xml:space="preserve">P.O. Box 12345, Safat District</w:t>
      </w:r>
    </w:p>
    <w:p>
      <w:pPr>
        <w:pStyle w:val="BodyText"/>
      </w:pPr>
      <w:r>
        <w:rPr>
          <w:bCs/>
          <w:b/>
        </w:rPr>
        <w:t xml:space="preserve">Prepared By:</w:t>
      </w:r>
      <w:r>
        <w:br/>
      </w:r>
      <w:r>
        <w:t xml:space="preserve">Meridian Technical Solutions LLC</w:t>
      </w:r>
      <w:r>
        <w:br/>
      </w:r>
      <w:r>
        <w:t xml:space="preserve">Systems Engineering Division</w:t>
      </w:r>
      <w:r>
        <w:br/>
      </w:r>
      <w:r>
        <w:t xml:space="preserve">Kuwait City, Kuwait</w:t>
      </w:r>
    </w:p>
    <w:p>
      <w:pPr>
        <w:pStyle w:val="BodyText"/>
      </w:pPr>
      <w:r>
        <w:rPr>
          <w:bCs/>
          <w:b/>
        </w:rPr>
        <w:t xml:space="preserve">Date of Issue:</w:t>
      </w:r>
      <w:r>
        <w:br/>
      </w:r>
      <w:r>
        <w:t xml:space="preserve">15 June 2025</w:t>
      </w:r>
      <w:r>
        <w:br/>
      </w:r>
      <w:r>
        <w:rPr>
          <w:bCs/>
          <w:b/>
        </w:rPr>
        <w:t xml:space="preserve">Valid Until:</w:t>
      </w:r>
      <w:r>
        <w:br/>
      </w:r>
      <w:r>
        <w:t xml:space="preserve">15 September 2025</w:t>
      </w:r>
    </w:p>
    <w:bookmarkStart w:id="21" w:name="X091f0dfb82768bdcc14fb07ea5eabec314d991f"/>
    <w:p>
      <w:pPr>
        <w:pStyle w:val="Heading2"/>
      </w:pPr>
      <w:r>
        <w:t xml:space="preserve">1. Introduction and Purpose of This Quotation Estimate</w:t>
      </w:r>
    </w:p>
    <w:p>
      <w:pPr>
        <w:pStyle w:val="FirstParagraph"/>
      </w:pPr>
      <w:r>
        <w:t xml:space="preserve">This</w:t>
      </w:r>
      <w:r>
        <w:t xml:space="preserve"> </w:t>
      </w:r>
      <w:r>
        <w:t xml:space="preserve">Quotation Estimate</w:t>
      </w:r>
      <w:r>
        <w:t xml:space="preserve"> </w:t>
      </w:r>
      <w:r>
        <w:t xml:space="preserve">is formally issued by Meridian Technical Solutions LLC to provide a comprehensive and transparent breakdown of costs associated with the engagement of a qualified</w:t>
      </w:r>
      <w:r>
        <w:t xml:space="preserve"> </w:t>
      </w:r>
      <w:r>
        <w:t xml:space="preserve">Systems Engineer</w:t>
      </w:r>
      <w:r>
        <w:t xml:space="preserve"> </w:t>
      </w:r>
      <w:r>
        <w:t xml:space="preserve">for deployment and ongoing technical support within the metropolitan area of</w:t>
      </w:r>
      <w:r>
        <w:t xml:space="preserve"> </w:t>
      </w:r>
      <w:r>
        <w:t xml:space="preserve">Kuwait, Kuwait City</w:t>
      </w:r>
      <w:r>
        <w:t xml:space="preserve">. The purpose of this document is to outline the scope of services, deliverables, professional fees, and applicable terms governing the proposed engagement. All pricing presented in this Quotation Estimate is denominated in Kuwaiti Dinar (KWD) and reflects current market rates for specialized systems engineering expertise in the Kuwaiti capital region.</w:t>
      </w:r>
    </w:p>
    <w:bookmarkEnd w:id="21"/>
    <w:bookmarkStart w:id="22" w:name="scope-of-services-systems-engineer-role"/>
    <w:p>
      <w:pPr>
        <w:pStyle w:val="Heading2"/>
      </w:pPr>
      <w:r>
        <w:t xml:space="preserve">2. Scope of Services — Systems Engineer Role</w:t>
      </w:r>
    </w:p>
    <w:p>
      <w:pPr>
        <w:pStyle w:val="FirstParagraph"/>
      </w:pPr>
      <w:r>
        <w:t xml:space="preserve">The</w:t>
      </w:r>
      <w:r>
        <w:t xml:space="preserve"> </w:t>
      </w:r>
      <w:r>
        <w:t xml:space="preserve">Systems Engineer</w:t>
      </w:r>
      <w:r>
        <w:t xml:space="preserve"> </w:t>
      </w:r>
      <w:r>
        <w:t xml:space="preserve">engaged under this Quotation Estimate will be responsible for the design, implementation, monitoring, and maintenance of integrated IT infrastructure systems at the client's primary facility located in Kuwait City, Kuwait. The role encompasses the following core responsibilities:</w:t>
      </w:r>
    </w:p>
    <w:p>
      <w:pPr>
        <w:numPr>
          <w:ilvl w:val="0"/>
          <w:numId w:val="1001"/>
        </w:numPr>
        <w:pStyle w:val="Compact"/>
      </w:pPr>
      <w:r>
        <w:t xml:space="preserve">Architecture design and documentation of enterprise-level network and server infrastructure supporting operations in Kuwait City.</w:t>
      </w:r>
    </w:p>
    <w:p>
      <w:pPr>
        <w:numPr>
          <w:ilvl w:val="0"/>
          <w:numId w:val="1001"/>
        </w:numPr>
        <w:pStyle w:val="Compact"/>
      </w:pPr>
      <w:r>
        <w:t xml:space="preserve">Configuration, deployment, and ongoing management of virtualized environments, including hypervisor platforms and container orchestration systems.</w:t>
      </w:r>
    </w:p>
    <w:p>
      <w:pPr>
        <w:numPr>
          <w:ilvl w:val="0"/>
          <w:numId w:val="1001"/>
        </w:numPr>
        <w:pStyle w:val="Compact"/>
      </w:pPr>
      <w:r>
        <w:t xml:space="preserve">Performance tuning, capacity planning, and proactive fault resolution for all mission-critical systems operating within the Kuwait metropolitan zone.</w:t>
      </w:r>
    </w:p>
    <w:p>
      <w:pPr>
        <w:numPr>
          <w:ilvl w:val="0"/>
          <w:numId w:val="1001"/>
        </w:numPr>
        <w:pStyle w:val="Compact"/>
      </w:pPr>
      <w:r>
        <w:t xml:space="preserve">Implementation of cybersecurity protocols, access control frameworks, and disaster recovery procedures compliant with Kuwaiti regulatory standards.</w:t>
      </w:r>
    </w:p>
    <w:p>
      <w:pPr>
        <w:numPr>
          <w:ilvl w:val="0"/>
          <w:numId w:val="1001"/>
        </w:numPr>
        <w:pStyle w:val="Compact"/>
      </w:pPr>
      <w:r>
        <w:t xml:space="preserve">Coordination with third-party vendors and telecommunications providers operating in Kuwait to ensure seamless integration of external services.</w:t>
      </w:r>
    </w:p>
    <w:p>
      <w:pPr>
        <w:numPr>
          <w:ilvl w:val="0"/>
          <w:numId w:val="1001"/>
        </w:numPr>
        <w:pStyle w:val="Compact"/>
      </w:pPr>
      <w:r>
        <w:t xml:space="preserve">Preparation of monthly technical reports and quarterly strategic recommendations for the client's IT leadership team based in Kuwait City.</w:t>
      </w:r>
    </w:p>
    <w:p>
      <w:pPr>
        <w:numPr>
          <w:ilvl w:val="0"/>
          <w:numId w:val="1001"/>
        </w:numPr>
        <w:pStyle w:val="Compact"/>
      </w:pPr>
      <w:r>
        <w:t xml:space="preserve">On-site presence at the client's Kuwait City premises for a minimum of five (5) working days per week, with remote availability for emergency support.</w:t>
      </w:r>
    </w:p>
    <w:bookmarkEnd w:id="22"/>
    <w:bookmarkStart w:id="23" w:name="professional-qualifications-required"/>
    <w:p>
      <w:pPr>
        <w:pStyle w:val="Heading2"/>
      </w:pPr>
      <w:r>
        <w:t xml:space="preserve">3. Professional Qualifications Required</w:t>
      </w:r>
    </w:p>
    <w:p>
      <w:pPr>
        <w:pStyle w:val="FirstParagraph"/>
      </w:pPr>
      <w:r>
        <w:t xml:space="preserve">The Systems Engineer proposed for this engagement holds a Bachelor's degree in Computer Engineering or a related discipline, supplemented by a minimum of eight (8) years of progressive experience in enterprise systems engineering. The candidate possesses certified credentials including but not limited to CompTIA Security+, Cisco CCNP, and Microsoft Azure Solutions Architect Expert. Prior experience working within the Gulf Cooperation Council (GCC) region, and specifically within Kuwait, is considered a significant advantage for this Quotation Estimate.</w:t>
      </w:r>
    </w:p>
    <w:bookmarkEnd w:id="23"/>
    <w:bookmarkStart w:id="24" w:name="X99c9499de5c98ccaacfa8f1f6f8363d33ed1c39"/>
    <w:p>
      <w:pPr>
        <w:pStyle w:val="Heading2"/>
      </w:pPr>
      <w:r>
        <w:t xml:space="preserve">4. Financial Breakdown — Quotation Estimate Pricing</w:t>
      </w:r>
    </w:p>
    <w:p>
      <w:pPr>
        <w:pStyle w:val="FirstParagraph"/>
      </w:pPr>
      <w:r>
        <w:t xml:space="preserve">The following table presents the itemized cost structure for this Quotation Estimate. All figures are expressed in Kuwaiti Dinar (KWD) and are inclusive of applicable Value Added Tax (VAT) at the prevailing rate of 5% as mandated by the Kuwaiti tax authority.</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Duration</w:t>
            </w:r>
          </w:p>
        </w:tc>
        <w:tc>
          <w:tcPr/>
          <w:p>
            <w:pPr>
              <w:pStyle w:val="Compact"/>
              <w:jc w:val="left"/>
            </w:pPr>
            <w:r>
              <w:t xml:space="preserve">Unit Cost (KWD)</w:t>
            </w:r>
          </w:p>
        </w:tc>
        <w:tc>
          <w:tcPr/>
          <w:p>
            <w:pPr>
              <w:pStyle w:val="Compact"/>
              <w:jc w:val="left"/>
            </w:pPr>
            <w:r>
              <w:t xml:space="preserve">Total (KWD)</w:t>
            </w:r>
          </w:p>
        </w:tc>
      </w:tr>
      <w:tr>
        <w:tc>
          <w:tcPr/>
          <w:p>
            <w:pPr>
              <w:pStyle w:val="Compact"/>
              <w:jc w:val="left"/>
            </w:pPr>
            <w:r>
              <w:t xml:space="preserve">01</w:t>
            </w:r>
          </w:p>
        </w:tc>
        <w:tc>
          <w:tcPr/>
          <w:p>
            <w:pPr>
              <w:pStyle w:val="Compact"/>
              <w:jc w:val="left"/>
            </w:pPr>
            <w:r>
              <w:t xml:space="preserve">Systems Engineer — Monthly Professional Fee (on-site, Kuwait City)</w:t>
            </w:r>
          </w:p>
        </w:tc>
        <w:tc>
          <w:tcPr/>
          <w:p>
            <w:pPr>
              <w:pStyle w:val="Compact"/>
              <w:jc w:val="left"/>
            </w:pPr>
            <w:r>
              <w:t xml:space="preserve">12 months</w:t>
            </w:r>
          </w:p>
        </w:tc>
        <w:tc>
          <w:tcPr/>
          <w:p>
            <w:pPr>
              <w:pStyle w:val="Compact"/>
              <w:jc w:val="left"/>
            </w:pPr>
            <w:r>
              <w:t xml:space="preserve">1,850.00</w:t>
            </w:r>
          </w:p>
        </w:tc>
        <w:tc>
          <w:tcPr/>
          <w:p>
            <w:pPr>
              <w:pStyle w:val="Compact"/>
              <w:jc w:val="left"/>
            </w:pPr>
            <w:r>
              <w:t xml:space="preserve">22,200.00</w:t>
            </w:r>
          </w:p>
        </w:tc>
      </w:tr>
      <w:tr>
        <w:tc>
          <w:tcPr/>
          <w:p>
            <w:pPr>
              <w:pStyle w:val="Compact"/>
              <w:jc w:val="left"/>
            </w:pPr>
            <w:r>
              <w:t xml:space="preserve">02</w:t>
            </w:r>
          </w:p>
        </w:tc>
        <w:tc>
          <w:tcPr/>
          <w:p>
            <w:pPr>
              <w:pStyle w:val="Compact"/>
              <w:jc w:val="left"/>
            </w:pPr>
            <w:r>
              <w:t xml:space="preserve">Initial Infrastructure Assessment &amp; Audit (one-time)</w:t>
            </w:r>
          </w:p>
        </w:tc>
        <w:tc>
          <w:tcPr/>
          <w:p>
            <w:pPr>
              <w:pStyle w:val="Compact"/>
              <w:jc w:val="left"/>
            </w:pPr>
            <w:r>
              <w:t xml:space="preserve">One-time</w:t>
            </w:r>
          </w:p>
        </w:tc>
        <w:tc>
          <w:tcPr/>
          <w:p>
            <w:pPr>
              <w:pStyle w:val="Compact"/>
              <w:jc w:val="left"/>
            </w:pPr>
            <w:r>
              <w:t xml:space="preserve">2,400.00</w:t>
            </w:r>
          </w:p>
        </w:tc>
        <w:tc>
          <w:tcPr/>
          <w:p>
            <w:pPr>
              <w:pStyle w:val="Compact"/>
              <w:jc w:val="left"/>
            </w:pPr>
            <w:r>
              <w:t xml:space="preserve">2,400.00</w:t>
            </w:r>
          </w:p>
        </w:tc>
      </w:tr>
      <w:tr>
        <w:tc>
          <w:tcPr/>
          <w:p>
            <w:pPr>
              <w:pStyle w:val="Compact"/>
              <w:jc w:val="left"/>
            </w:pPr>
            <w:r>
              <w:t xml:space="preserve">03</w:t>
            </w:r>
          </w:p>
        </w:tc>
        <w:tc>
          <w:tcPr/>
          <w:p>
            <w:pPr>
              <w:pStyle w:val="Compact"/>
              <w:jc w:val="left"/>
            </w:pPr>
            <w:r>
              <w:t xml:space="preserve">Emergency After-Hours Support (up to 40 hours per year)</w:t>
            </w:r>
          </w:p>
        </w:tc>
        <w:tc>
          <w:tcPr/>
          <w:p>
            <w:pPr>
              <w:pStyle w:val="Compact"/>
              <w:jc w:val="left"/>
            </w:pPr>
            <w:r>
              <w:t xml:space="preserve">12 months</w:t>
            </w:r>
          </w:p>
        </w:tc>
        <w:tc>
          <w:tcPr/>
          <w:p>
            <w:pPr>
              <w:pStyle w:val="Compact"/>
              <w:jc w:val="left"/>
            </w:pPr>
            <w:r>
              <w:t xml:space="preserve">45.00/hr</w:t>
            </w:r>
          </w:p>
        </w:tc>
        <w:tc>
          <w:tcPr/>
          <w:p>
            <w:pPr>
              <w:pStyle w:val="Compact"/>
              <w:jc w:val="left"/>
            </w:pPr>
            <w:r>
              <w:t xml:space="preserve">1,800.00</w:t>
            </w:r>
          </w:p>
        </w:tc>
      </w:tr>
      <w:tr>
        <w:tc>
          <w:tcPr/>
          <w:p>
            <w:pPr>
              <w:pStyle w:val="Compact"/>
              <w:jc w:val="left"/>
            </w:pPr>
            <w:r>
              <w:t xml:space="preserve">04</w:t>
            </w:r>
          </w:p>
        </w:tc>
        <w:tc>
          <w:tcPr/>
          <w:p>
            <w:pPr>
              <w:pStyle w:val="Compact"/>
              <w:jc w:val="left"/>
            </w:pPr>
            <w:r>
              <w:t xml:space="preserve">Travel &amp; Local Transportation within Kuwait City</w:t>
            </w:r>
          </w:p>
        </w:tc>
        <w:tc>
          <w:tcPr/>
          <w:p>
            <w:pPr>
              <w:pStyle w:val="Compact"/>
              <w:jc w:val="left"/>
            </w:pPr>
            <w:r>
              <w:t xml:space="preserve">12 months</w:t>
            </w:r>
          </w:p>
        </w:tc>
        <w:tc>
          <w:tcPr/>
          <w:p>
            <w:pPr>
              <w:pStyle w:val="Compact"/>
              <w:jc w:val="left"/>
            </w:pPr>
            <w:r>
              <w:t xml:space="preserve">120.00</w:t>
            </w:r>
          </w:p>
        </w:tc>
        <w:tc>
          <w:tcPr/>
          <w:p>
            <w:pPr>
              <w:pStyle w:val="Compact"/>
              <w:jc w:val="left"/>
            </w:pPr>
            <w:r>
              <w:t xml:space="preserve">1,440.00</w:t>
            </w:r>
          </w:p>
        </w:tc>
      </w:tr>
      <w:tr>
        <w:tc>
          <w:tcPr/>
          <w:p>
            <w:pPr>
              <w:pStyle w:val="Compact"/>
              <w:jc w:val="left"/>
            </w:pPr>
            <w:r>
              <w:t xml:space="preserve">05</w:t>
            </w:r>
          </w:p>
        </w:tc>
        <w:tc>
          <w:tcPr/>
          <w:p>
            <w:pPr>
              <w:pStyle w:val="Compact"/>
              <w:jc w:val="left"/>
            </w:pPr>
            <w:r>
              <w:t xml:space="preserve">Technical Documentation &amp; Knowledge Transfer Package</w:t>
            </w:r>
          </w:p>
        </w:tc>
        <w:tc>
          <w:tcPr/>
          <w:p>
            <w:pPr>
              <w:pStyle w:val="Compact"/>
              <w:jc w:val="left"/>
            </w:pPr>
            <w:r>
              <w:t xml:space="preserve">One-time</w:t>
            </w:r>
          </w:p>
        </w:tc>
        <w:tc>
          <w:tcPr/>
          <w:p>
            <w:pPr>
              <w:pStyle w:val="Compact"/>
              <w:jc w:val="left"/>
            </w:pPr>
            <w:r>
              <w:t xml:space="preserve">1,600.00</w:t>
            </w:r>
          </w:p>
        </w:tc>
        <w:tc>
          <w:tcPr/>
          <w:p>
            <w:pPr>
              <w:pStyle w:val="Compact"/>
              <w:jc w:val="left"/>
            </w:pPr>
            <w:r>
              <w:t xml:space="preserve">1,600.00</w:t>
            </w:r>
          </w:p>
        </w:tc>
      </w:tr>
      <w:tr>
        <w:tc>
          <w:tcPr/>
          <w:p>
            <w:pPr>
              <w:pStyle w:val="Compact"/>
              <w:jc w:val="left"/>
            </w:pPr>
            <w:r>
              <w:t xml:space="preserve">06</w:t>
            </w:r>
          </w:p>
        </w:tc>
        <w:tc>
          <w:tcPr/>
          <w:p>
            <w:pPr>
              <w:pStyle w:val="Compact"/>
              <w:jc w:val="left"/>
            </w:pPr>
            <w:r>
              <w:t xml:space="preserve">Project Management &amp; Coordination Overhead</w:t>
            </w:r>
          </w:p>
        </w:tc>
        <w:tc>
          <w:tcPr/>
          <w:p>
            <w:pPr>
              <w:pStyle w:val="Compact"/>
              <w:jc w:val="left"/>
            </w:pPr>
            <w:r>
              <w:t xml:space="preserve">12 months</w:t>
            </w:r>
          </w:p>
        </w:tc>
        <w:tc>
          <w:tcPr/>
          <w:p>
            <w:pPr>
              <w:pStyle w:val="Compact"/>
              <w:jc w:val="left"/>
            </w:pPr>
            <w:r>
              <w:t xml:space="preserve">350.00</w:t>
            </w:r>
          </w:p>
        </w:tc>
        <w:tc>
          <w:tcPr/>
          <w:p>
            <w:pPr>
              <w:pStyle w:val="Compact"/>
              <w:jc w:val="left"/>
            </w:pPr>
            <w:r>
              <w:t xml:space="preserve">4,200.00</w:t>
            </w:r>
          </w:p>
        </w:tc>
      </w:tr>
      <w:tr>
        <w:tc>
          <w:tcPr/>
          <w:p>
            <w:pPr>
              <w:pStyle w:val="Compact"/>
              <w:jc w:val="left"/>
            </w:pPr>
            <w:r>
              <w:t xml:space="preserve">07</w:t>
            </w:r>
          </w:p>
        </w:tc>
        <w:tc>
          <w:tcPr/>
          <w:p>
            <w:pPr>
              <w:pStyle w:val="Compact"/>
              <w:jc w:val="left"/>
            </w:pPr>
            <w:r>
              <w:t xml:space="preserve">Value Added Tax (VAT) @ 5%</w:t>
            </w:r>
          </w:p>
        </w:tc>
        <w:tc>
          <w:tcPr/>
          <w:p>
            <w:pPr>
              <w:pStyle w:val="Compact"/>
              <w:jc w:val="left"/>
            </w:pPr>
            <w:r>
              <w:t xml:space="preserve">—</w:t>
            </w:r>
          </w:p>
        </w:tc>
        <w:tc>
          <w:tcPr/>
          <w:p>
            <w:pPr>
              <w:pStyle w:val="Compact"/>
              <w:jc w:val="left"/>
            </w:pPr>
            <w:r>
              <w:t xml:space="preserve">—</w:t>
            </w:r>
          </w:p>
        </w:tc>
        <w:tc>
          <w:tcPr/>
          <w:p>
            <w:pPr>
              <w:pStyle w:val="Compact"/>
              <w:jc w:val="left"/>
            </w:pPr>
            <w:r>
              <w:t xml:space="preserve">1,792.00</w:t>
            </w:r>
          </w:p>
        </w:tc>
      </w:tr>
      <w:tr>
        <w:tc>
          <w:tcPr>
            <w:gridSpan w:val="4"/>
          </w:tcPr>
          <w:p>
            <w:pPr>
              <w:pStyle w:val="Compact"/>
              <w:jc w:val="left"/>
            </w:pPr>
            <w:r>
              <w:t xml:space="preserve">GRAND TOTAL — Quotation Estimate</w:t>
            </w:r>
          </w:p>
        </w:tc>
        <w:tc>
          <w:tcPr/>
          <w:p>
            <w:pPr>
              <w:pStyle w:val="Compact"/>
              <w:jc w:val="left"/>
            </w:pPr>
            <w:r>
              <w:t xml:space="preserve">35,432.00 KWD</w:t>
            </w:r>
          </w:p>
        </w:tc>
      </w:tr>
    </w:tbl>
    <w:bookmarkEnd w:id="24"/>
    <w:bookmarkStart w:id="25" w:name="payment-terms-and-schedule"/>
    <w:p>
      <w:pPr>
        <w:pStyle w:val="Heading2"/>
      </w:pPr>
      <w:r>
        <w:t xml:space="preserve">5. Payment Terms and Schedule</w:t>
      </w:r>
    </w:p>
    <w:p>
      <w:pPr>
        <w:pStyle w:val="FirstParagraph"/>
      </w:pPr>
      <w:r>
        <w:t xml:space="preserve">Payment for the services outlined in this Quotation Estimate shall be made via bank transfer to the designated account of Meridian Technical Solutions LLC, Kuwait City branch. The payment schedule is structured as follows: an initial mobilization payment of 25% due upon contract execution; monthly invoices for the Systems Engineer professional fee payable within thirty (30) calendar days of invoice issuance; and the one-time assessment and documentation fees payable upon completion of the respective deliverables. Late payments shall incur a penalty of 1.5% per month as per Kuwaiti commercial law.</w:t>
      </w:r>
    </w:p>
    <w:bookmarkEnd w:id="25"/>
    <w:bookmarkStart w:id="26" w:name="terms-and-conditions"/>
    <w:p>
      <w:pPr>
        <w:pStyle w:val="Heading2"/>
      </w:pPr>
      <w:r>
        <w:t xml:space="preserve">6. Terms and Conditions</w:t>
      </w:r>
    </w:p>
    <w:p>
      <w:pPr>
        <w:numPr>
          <w:ilvl w:val="0"/>
          <w:numId w:val="1002"/>
        </w:numPr>
        <w:pStyle w:val="Compact"/>
      </w:pPr>
      <w:r>
        <w:t xml:space="preserve">This Quotation Estimate is valid for a period of ninety (90) days from the date of issue. Beyond this period, pricing may be subject to revision based on market conditions in Kuwait.</w:t>
      </w:r>
    </w:p>
    <w:p>
      <w:pPr>
        <w:numPr>
          <w:ilvl w:val="0"/>
          <w:numId w:val="1002"/>
        </w:numPr>
        <w:pStyle w:val="Compact"/>
      </w:pPr>
      <w:r>
        <w:t xml:space="preserve">The Systems Engineer shall adhere to all applicable laws and regulations of the State of Kuwait, including but not limited to the Labour Law and data protection directives issued by the Kuwaiti government.</w:t>
      </w:r>
    </w:p>
    <w:p>
      <w:pPr>
        <w:numPr>
          <w:ilvl w:val="0"/>
          <w:numId w:val="1002"/>
        </w:numPr>
        <w:pStyle w:val="Compact"/>
      </w:pPr>
      <w:r>
        <w:t xml:space="preserve">Confidentiality obligations shall survive the termination of this engagement for a period of three (3) years.</w:t>
      </w:r>
    </w:p>
    <w:p>
      <w:pPr>
        <w:numPr>
          <w:ilvl w:val="0"/>
          <w:numId w:val="1002"/>
        </w:numPr>
        <w:pStyle w:val="Compact"/>
      </w:pPr>
      <w:r>
        <w:t xml:space="preserve">Either party may terminate the agreement with thirty (30) days written notice. In such event, all services rendered up to the termination date shall be invoiced in accordance with this Quotation Estimate.</w:t>
      </w:r>
    </w:p>
    <w:p>
      <w:pPr>
        <w:numPr>
          <w:ilvl w:val="0"/>
          <w:numId w:val="1002"/>
        </w:numPr>
        <w:pStyle w:val="Compact"/>
      </w:pPr>
      <w:r>
        <w:t xml:space="preserve">All intellectual property developed specifically for the client during the engagement shall vest in the client upon full payment.</w:t>
      </w:r>
    </w:p>
    <w:p>
      <w:pPr>
        <w:numPr>
          <w:ilvl w:val="0"/>
          <w:numId w:val="1002"/>
        </w:numPr>
        <w:pStyle w:val="Compact"/>
      </w:pPr>
      <w:r>
        <w:t xml:space="preserve">Disputes arising from this Quotation Estimate shall be resolved through arbitration in Kuwait City in accordance with the Kuwaiti Arbitration Law.</w:t>
      </w:r>
    </w:p>
    <w:bookmarkEnd w:id="26"/>
    <w:bookmarkStart w:id="27" w:name="acceptance-and-authorization"/>
    <w:p>
      <w:pPr>
        <w:pStyle w:val="Heading2"/>
      </w:pPr>
      <w:r>
        <w:t xml:space="preserve">7. Acceptance and Authorization</w:t>
      </w:r>
    </w:p>
    <w:p>
      <w:pPr>
        <w:pStyle w:val="FirstParagraph"/>
      </w:pPr>
      <w:r>
        <w:t xml:space="preserve">By signing below, the client acknowledges receipt of this Quotation Estimate and agrees to the terms, conditions, and pricing outlined herein for the engagement of the Systems Engineer in Kuwait, Kuwait City. This document, once countersigned by both parties, constitutes a binding commercial agreement.</w:t>
      </w:r>
    </w:p>
    <w:p>
      <w:pPr>
        <w:pStyle w:val="BodyText"/>
      </w:pPr>
      <w:r>
        <w:t xml:space="preserve">For Meridian Technical Solutions LLC</w:t>
      </w:r>
      <w:r>
        <w:br/>
      </w:r>
      <w:r>
        <w:t xml:space="preserve">Authorized Signatory</w:t>
      </w:r>
    </w:p>
    <w:p>
      <w:pPr>
        <w:pStyle w:val="BodyText"/>
      </w:pPr>
      <w:r>
        <w:t xml:space="preserve">For the Client Organization</w:t>
      </w:r>
      <w:r>
        <w:br/>
      </w:r>
      <w:r>
        <w:t xml:space="preserve">Authorized Signatory</w:t>
      </w:r>
    </w:p>
    <w:p>
      <w:pPr>
        <w:pStyle w:val="BodyText"/>
      </w:pPr>
      <w:r>
        <w:rPr>
          <w:bCs/>
          <w:b/>
        </w:rPr>
        <w:t xml:space="preserve">Meridian Technical Solutions LLC</w:t>
      </w:r>
      <w:r>
        <w:t xml:space="preserve"> </w:t>
      </w:r>
      <w:r>
        <w:t xml:space="preserve">| Systems Engineering Division</w:t>
      </w:r>
      <w:r>
        <w:br/>
      </w:r>
      <w:r>
        <w:t xml:space="preserve">Office 412, Al Hamra Tower, Al Hamra Street, Kuwait City, Kuwait</w:t>
      </w:r>
      <w:r>
        <w:br/>
      </w:r>
      <w:r>
        <w:t xml:space="preserve">Tel: +965 2244 5566 | Email: quotations@meridian-tech-kw.com</w:t>
      </w:r>
      <w:r>
        <w:br/>
      </w:r>
      <w:r>
        <w:t xml:space="preserve">Commercial Registration No. 1089234 | Tax Registration No. 10892345678</w:t>
      </w:r>
    </w:p>
    <w:p>
      <w:pPr>
        <w:pStyle w:val="BodyText"/>
      </w:pPr>
      <w:r>
        <w:t xml:space="preserve">This Quotation Estimate is the property of Meridian Technical Solutions LLC. Unauthorized reproduction or distribution is prohibited.</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Systems Engineer - Kuwait Kuwait City</dc:title>
  <dc:creator/>
  <dc:language>en</dc:language>
  <cp:keywords/>
  <dcterms:created xsi:type="dcterms:W3CDTF">2026-10-10T02:09:14Z</dcterms:created>
  <dcterms:modified xsi:type="dcterms:W3CDTF">2026-10-10T02:09:14Z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