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rPr>
          <w:bCs/>
          <w:b/>
        </w:rPr>
        <w:t xml:space="preserve">TechNova Solutions de México, S.A. de C.V.</w:t>
      </w:r>
    </w:p>
    <w:p>
      <w:pPr>
        <w:pStyle w:val="BodyText"/>
      </w:pPr>
      <w:r>
        <w:t xml:space="preserve">Av. Paseo de la Reforma 250, Piso 14, Col. Cuauhtémoc, 06600, Mexico Mexico City</w:t>
      </w:r>
    </w:p>
    <w:p>
      <w:pPr>
        <w:pStyle w:val="BodyText"/>
      </w:pPr>
      <w:r>
        <w:t xml:space="preserve">Phone: +52 (55) 5555-0142 | Email: quotations@technovamexico.com</w:t>
      </w:r>
    </w:p>
    <w:p>
      <w:pPr>
        <w:pStyle w:val="BodyText"/>
      </w:pPr>
      <w:r>
        <w:t xml:space="preserve">RFC: TNS180520MX7 | SAT Registration: Active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QTE-2025-MMC-00847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c>
          <w:tcPr/>
          <w:p>
            <w:pPr>
              <w:pStyle w:val="Compact"/>
              <w:jc w:val="left"/>
            </w:pPr>
            <w:r>
              <w:t xml:space="preserve">Currency</w:t>
            </w:r>
          </w:p>
        </w:tc>
        <w:tc>
          <w:tcPr/>
          <w:p>
            <w:pPr>
              <w:pStyle w:val="Compact"/>
              <w:jc w:val="left"/>
            </w:pPr>
            <w:r>
              <w:t xml:space="preserve">MXN (Mexican Peso)</w:t>
            </w:r>
          </w:p>
        </w:tc>
      </w:tr>
      <w:tr>
        <w:tc>
          <w:tcPr/>
          <w:p>
            <w:pPr>
              <w:pStyle w:val="Compact"/>
              <w:jc w:val="left"/>
            </w:pPr>
            <w:r>
              <w:t xml:space="preserve">Client Name</w:t>
            </w:r>
          </w:p>
        </w:tc>
        <w:tc>
          <w:tcPr/>
          <w:p>
            <w:pPr>
              <w:pStyle w:val="Compact"/>
              <w:jc w:val="left"/>
            </w:pPr>
            <w:r>
              <w:t xml:space="preserve">Grupo Industrial del Valle, S.A. de C.V.</w:t>
            </w:r>
          </w:p>
        </w:tc>
        <w:tc>
          <w:tcPr/>
          <w:p>
            <w:pPr>
              <w:pStyle w:val="Compact"/>
              <w:jc w:val="left"/>
            </w:pPr>
            <w:r>
              <w:t xml:space="preserve">Client RFC</w:t>
            </w:r>
          </w:p>
        </w:tc>
        <w:tc>
          <w:tcPr/>
          <w:p>
            <w:pPr>
              <w:pStyle w:val="Compact"/>
              <w:jc w:val="left"/>
            </w:pPr>
            <w:r>
              <w:t xml:space="preserve">GIV150312AB8</w:t>
            </w:r>
          </w:p>
        </w:tc>
      </w:tr>
      <w:tr>
        <w:tc>
          <w:tcPr/>
          <w:p>
            <w:pPr>
              <w:pStyle w:val="Compact"/>
              <w:jc w:val="left"/>
            </w:pPr>
            <w:r>
              <w:t xml:space="preserve">Client Address</w:t>
            </w:r>
          </w:p>
        </w:tc>
        <w:tc>
          <w:tcPr>
            <w:gridSpan w:val="3"/>
          </w:tcPr>
          <w:p>
            <w:pPr>
              <w:pStyle w:val="Compact"/>
              <w:jc w:val="left"/>
            </w:pPr>
            <w:r>
              <w:t xml:space="preserve">Blvd. Manuel Ávila Camacho 1200, Piso 8, Col. Lomas Altas, 11950, Mexico Mexico City</w:t>
            </w:r>
          </w:p>
        </w:tc>
      </w:tr>
      <w:tr>
        <w:tc>
          <w:tcPr/>
          <w:p>
            <w:pPr>
              <w:pStyle w:val="Compact"/>
              <w:jc w:val="left"/>
            </w:pPr>
            <w:r>
              <w:t xml:space="preserve">Prepared By</w:t>
            </w:r>
          </w:p>
        </w:tc>
        <w:tc>
          <w:tcPr/>
          <w:p>
            <w:pPr>
              <w:pStyle w:val="Compact"/>
              <w:jc w:val="left"/>
            </w:pPr>
            <w:r>
              <w:t xml:space="preserve">Ing. Carlos Mendoza Ríos – Senior Account Manager</w:t>
            </w:r>
          </w:p>
        </w:tc>
        <w:tc>
          <w:tcPr/>
          <w:p>
            <w:pPr>
              <w:pStyle w:val="Compact"/>
              <w:jc w:val="left"/>
            </w:pPr>
            <w:r>
              <w:t xml:space="preserve">Project Code</w:t>
            </w:r>
          </w:p>
        </w:tc>
        <w:tc>
          <w:tcPr/>
          <w:p>
            <w:pPr>
              <w:pStyle w:val="Compact"/>
              <w:jc w:val="left"/>
            </w:pPr>
            <w:r>
              <w:t xml:space="preserve">PRJ-SE-MMC-2025-031</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TechNova Solutions de México, S.A. de C.V. to Grupo Industrial del Valle, S.A. de C.V., providing a comprehensive and itemized cost breakdown for the professional services of a dedicated</w:t>
      </w:r>
      <w:r>
        <w:t xml:space="preserve"> </w:t>
      </w:r>
      <w:r>
        <w:t xml:space="preserve">Systems Engineer</w:t>
      </w:r>
      <w:r>
        <w:t xml:space="preserve"> </w:t>
      </w:r>
      <w:r>
        <w:t xml:space="preserve">to be deployed at the client's primary operations facility located in</w:t>
      </w:r>
      <w:r>
        <w:t xml:space="preserve"> </w:t>
      </w:r>
      <w:r>
        <w:t xml:space="preserve">Mexico Mexico City</w:t>
      </w:r>
      <w:r>
        <w:t xml:space="preserve">. This document serves as a binding proposal for the duration of its validity period and outlines all deliverables, labor costs, material expenses, and applicable tax considerations in accordance with the regulations of the Servicio de Administración Tributaria (SAT) of the United Mexican States.</w:t>
      </w:r>
    </w:p>
    <w:p>
      <w:pPr>
        <w:pStyle w:val="BodyText"/>
      </w:pPr>
      <w:r>
        <w:t xml:space="preserve">The engagement described herein involves the assignment of a certified</w:t>
      </w:r>
      <w:r>
        <w:t xml:space="preserve"> </w:t>
      </w:r>
      <w:r>
        <w:t xml:space="preserve">Systems Engineer</w:t>
      </w:r>
      <w:r>
        <w:t xml:space="preserve"> </w:t>
      </w:r>
      <w:r>
        <w:t xml:space="preserve">with a minimum of eight (8) years of experience in enterprise infrastructure design, network architecture, server virtualization, and IT service management. The</w:t>
      </w:r>
      <w:r>
        <w:t xml:space="preserve"> </w:t>
      </w:r>
      <w:r>
        <w:t xml:space="preserve">Systems Engineer</w:t>
      </w:r>
      <w:r>
        <w:t xml:space="preserve"> </w:t>
      </w:r>
      <w:r>
        <w:t xml:space="preserve">will be physically stationed at the client's premises in</w:t>
      </w:r>
      <w:r>
        <w:t xml:space="preserve"> </w:t>
      </w:r>
      <w:r>
        <w:t xml:space="preserve">Mexico Mexico City</w:t>
      </w:r>
      <w:r>
        <w:t xml:space="preserve"> </w:t>
      </w:r>
      <w:r>
        <w:t xml:space="preserve">during standard business hours (Monday through Friday, 08:00 to 17:00 CST) for a contract period of twelve (12) months, with the option to extend upon mutual written agreement.</w:t>
      </w:r>
    </w:p>
    <w:bookmarkEnd w:id="21"/>
    <w:bookmarkStart w:id="22" w:name="detailed-services-and-itemized-costs"/>
    <w:p>
      <w:pPr>
        <w:pStyle w:val="Heading2"/>
      </w:pPr>
      <w:r>
        <w:t xml:space="preserve">2. Detailed Services and Itemized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Subtotal (MXN)</w:t>
            </w:r>
          </w:p>
        </w:tc>
        <w:tc>
          <w:tcPr/>
          <w:p>
            <w:pPr>
              <w:pStyle w:val="Compact"/>
              <w:jc w:val="left"/>
            </w:pPr>
            <w:r>
              <w:t xml:space="preserve">Frequency</w:t>
            </w:r>
          </w:p>
        </w:tc>
      </w:tr>
      <w:tr>
        <w:tc>
          <w:tcPr/>
          <w:p>
            <w:pPr>
              <w:pStyle w:val="Compact"/>
              <w:jc w:val="left"/>
            </w:pPr>
            <w:r>
              <w:t xml:space="preserve">01</w:t>
            </w:r>
          </w:p>
        </w:tc>
        <w:tc>
          <w:tcPr/>
          <w:p>
            <w:pPr>
              <w:pStyle w:val="Compact"/>
              <w:jc w:val="left"/>
            </w:pPr>
            <w:r>
              <w:t xml:space="preserve">Monthly professional fee for dedicated</w:t>
            </w:r>
            <w:r>
              <w:t xml:space="preserve"> </w:t>
            </w:r>
            <w:r>
              <w:t xml:space="preserve">Systems Engineer</w:t>
            </w:r>
            <w:r>
              <w:t xml:space="preserve"> </w:t>
            </w:r>
            <w:r>
              <w:t xml:space="preserve">(senior level, 8+ years experience) – on-site in</w:t>
            </w:r>
            <w:r>
              <w:t xml:space="preserve"> </w:t>
            </w:r>
            <w:r>
              <w:t xml:space="preserve">Mexico Mexico City</w:t>
            </w:r>
          </w:p>
        </w:tc>
        <w:tc>
          <w:tcPr/>
          <w:p>
            <w:pPr>
              <w:pStyle w:val="Compact"/>
              <w:jc w:val="left"/>
            </w:pPr>
            <w:r>
              <w:t xml:space="preserve">12 months</w:t>
            </w:r>
          </w:p>
        </w:tc>
        <w:tc>
          <w:tcPr/>
          <w:p>
            <w:pPr>
              <w:pStyle w:val="Compact"/>
              <w:jc w:val="left"/>
            </w:pPr>
            <w:r>
              <w:t xml:space="preserve">$48,500.00</w:t>
            </w:r>
          </w:p>
        </w:tc>
        <w:tc>
          <w:tcPr/>
          <w:p>
            <w:pPr>
              <w:pStyle w:val="Compact"/>
              <w:jc w:val="left"/>
            </w:pPr>
            <w:r>
              <w:t xml:space="preserve">$582,000.00</w:t>
            </w:r>
          </w:p>
        </w:tc>
        <w:tc>
          <w:tcPr/>
          <w:p>
            <w:pPr>
              <w:pStyle w:val="Compact"/>
              <w:jc w:val="left"/>
            </w:pPr>
            <w:r>
              <w:t xml:space="preserve">Monthly</w:t>
            </w:r>
          </w:p>
        </w:tc>
      </w:tr>
      <w:tr>
        <w:tc>
          <w:tcPr/>
          <w:p>
            <w:pPr>
              <w:pStyle w:val="Compact"/>
              <w:jc w:val="left"/>
            </w:pPr>
            <w:r>
              <w:t xml:space="preserve">02</w:t>
            </w:r>
          </w:p>
        </w:tc>
        <w:tc>
          <w:tcPr/>
          <w:p>
            <w:pPr>
              <w:pStyle w:val="Compact"/>
              <w:jc w:val="left"/>
            </w:pPr>
            <w:r>
              <w:t xml:space="preserve">Initial infrastructure audit and systems assessment report (one-time deliverable, 15 business days)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One-time</w:t>
            </w:r>
          </w:p>
        </w:tc>
      </w:tr>
      <w:tr>
        <w:tc>
          <w:tcPr/>
          <w:p>
            <w:pPr>
              <w:pStyle w:val="Compact"/>
              <w:jc w:val="left"/>
            </w:pPr>
            <w:r>
              <w:t xml:space="preserve">03</w:t>
            </w:r>
          </w:p>
        </w:tc>
        <w:tc>
          <w:tcPr/>
          <w:p>
            <w:pPr>
              <w:pStyle w:val="Compact"/>
              <w:jc w:val="left"/>
            </w:pPr>
            <w:r>
              <w:t xml:space="preserve">Network architecture redesign and implementation plan (LAN/WAN, VLAN segmentation, firewall policy)</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One-time</w:t>
            </w:r>
          </w:p>
        </w:tc>
      </w:tr>
      <w:tr>
        <w:tc>
          <w:tcPr/>
          <w:p>
            <w:pPr>
              <w:pStyle w:val="Compact"/>
              <w:jc w:val="left"/>
            </w:pPr>
            <w:r>
              <w:t xml:space="preserve">04</w:t>
            </w:r>
          </w:p>
        </w:tc>
        <w:tc>
          <w:tcPr/>
          <w:p>
            <w:pPr>
              <w:pStyle w:val="Compact"/>
              <w:jc w:val="left"/>
            </w:pPr>
            <w:r>
              <w:t xml:space="preserve">Server virtualization migration (physical to VMware vSphere 8) – up to 20 VMs</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One-time</w:t>
            </w:r>
          </w:p>
        </w:tc>
      </w:tr>
      <w:tr>
        <w:tc>
          <w:tcPr/>
          <w:p>
            <w:pPr>
              <w:pStyle w:val="Compact"/>
              <w:jc w:val="left"/>
            </w:pPr>
            <w:r>
              <w:t xml:space="preserve">05</w:t>
            </w:r>
          </w:p>
        </w:tc>
        <w:tc>
          <w:tcPr/>
          <w:p>
            <w:pPr>
              <w:pStyle w:val="Compact"/>
              <w:jc w:val="left"/>
            </w:pPr>
            <w:r>
              <w:t xml:space="preserve">Monthly preventive maintenance and system health monitoring (includes 4 on-site visits per month)</w:t>
            </w:r>
          </w:p>
        </w:tc>
        <w:tc>
          <w:tcPr/>
          <w:p>
            <w:pPr>
              <w:pStyle w:val="Compact"/>
              <w:jc w:val="left"/>
            </w:pPr>
            <w:r>
              <w:t xml:space="preserve">12 months</w:t>
            </w:r>
          </w:p>
        </w:tc>
        <w:tc>
          <w:tcPr/>
          <w:p>
            <w:pPr>
              <w:pStyle w:val="Compact"/>
              <w:jc w:val="left"/>
            </w:pPr>
            <w:r>
              <w:t xml:space="preserve">$12,800.00</w:t>
            </w:r>
          </w:p>
        </w:tc>
        <w:tc>
          <w:tcPr/>
          <w:p>
            <w:pPr>
              <w:pStyle w:val="Compact"/>
              <w:jc w:val="left"/>
            </w:pPr>
            <w:r>
              <w:t xml:space="preserve">$153,600.00</w:t>
            </w:r>
          </w:p>
        </w:tc>
        <w:tc>
          <w:tcPr/>
          <w:p>
            <w:pPr>
              <w:pStyle w:val="Compact"/>
              <w:jc w:val="left"/>
            </w:pPr>
            <w:r>
              <w:t xml:space="preserve">Monthly</w:t>
            </w:r>
          </w:p>
        </w:tc>
      </w:tr>
      <w:tr>
        <w:tc>
          <w:tcPr/>
          <w:p>
            <w:pPr>
              <w:pStyle w:val="Compact"/>
              <w:jc w:val="left"/>
            </w:pPr>
            <w:r>
              <w:t xml:space="preserve">06</w:t>
            </w:r>
          </w:p>
        </w:tc>
        <w:tc>
          <w:tcPr/>
          <w:p>
            <w:pPr>
              <w:pStyle w:val="Compact"/>
              <w:jc w:val="left"/>
            </w:pPr>
            <w:r>
              <w:t xml:space="preserve">Emergency on-call support (24/7 coverage, 4-hour response SLA) –</w:t>
            </w:r>
            <w:r>
              <w:t xml:space="preserve"> </w:t>
            </w:r>
            <w:r>
              <w:t xml:space="preserve">Systems Engineer</w:t>
            </w:r>
            <w:r>
              <w:t xml:space="preserve"> </w:t>
            </w:r>
            <w:r>
              <w:t xml:space="preserve">standby</w:t>
            </w:r>
          </w:p>
        </w:tc>
        <w:tc>
          <w:tcPr/>
          <w:p>
            <w:pPr>
              <w:pStyle w:val="Compact"/>
              <w:jc w:val="left"/>
            </w:pPr>
            <w:r>
              <w:t xml:space="preserve">12 months</w:t>
            </w:r>
          </w:p>
        </w:tc>
        <w:tc>
          <w:tcPr/>
          <w:p>
            <w:pPr>
              <w:pStyle w:val="Compact"/>
              <w:jc w:val="left"/>
            </w:pPr>
            <w:r>
              <w:t xml:space="preserve">$8,200.00</w:t>
            </w:r>
          </w:p>
        </w:tc>
        <w:tc>
          <w:tcPr/>
          <w:p>
            <w:pPr>
              <w:pStyle w:val="Compact"/>
              <w:jc w:val="left"/>
            </w:pPr>
            <w:r>
              <w:t xml:space="preserve">$98,400.00</w:t>
            </w:r>
          </w:p>
        </w:tc>
        <w:tc>
          <w:tcPr/>
          <w:p>
            <w:pPr>
              <w:pStyle w:val="Compact"/>
              <w:jc w:val="left"/>
            </w:pPr>
            <w:r>
              <w:t xml:space="preserve">Monthly</w:t>
            </w:r>
          </w:p>
        </w:tc>
      </w:tr>
      <w:tr>
        <w:tc>
          <w:tcPr/>
          <w:p>
            <w:pPr>
              <w:pStyle w:val="Compact"/>
              <w:jc w:val="left"/>
            </w:pPr>
            <w:r>
              <w:t xml:space="preserve">07</w:t>
            </w:r>
          </w:p>
        </w:tc>
        <w:tc>
          <w:tcPr/>
          <w:p>
            <w:pPr>
              <w:pStyle w:val="Compact"/>
              <w:jc w:val="left"/>
            </w:pPr>
            <w:r>
              <w:t xml:space="preserve">Documentation package: as-built diagrams, runbooks, SOPs, and knowledge transfer sessions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One-time</w:t>
            </w:r>
          </w:p>
        </w:tc>
      </w:tr>
      <w:tr>
        <w:tc>
          <w:tcPr/>
          <w:p>
            <w:pPr>
              <w:pStyle w:val="Compact"/>
              <w:jc w:val="left"/>
            </w:pPr>
            <w:r>
              <w:t xml:space="preserve">08</w:t>
            </w:r>
          </w:p>
        </w:tc>
        <w:tc>
          <w:tcPr/>
          <w:p>
            <w:pPr>
              <w:pStyle w:val="Compact"/>
              <w:jc w:val="left"/>
            </w:pPr>
            <w:r>
              <w:t xml:space="preserve">Travel and local transportation within</w:t>
            </w:r>
            <w:r>
              <w:t xml:space="preserve"> </w:t>
            </w:r>
            <w:r>
              <w:t xml:space="preserve">Mexico Mexico City</w:t>
            </w:r>
            <w:r>
              <w:t xml:space="preserve"> </w:t>
            </w:r>
            <w:r>
              <w:t xml:space="preserve">metro area (daily commute, site visits)</w:t>
            </w:r>
          </w:p>
        </w:tc>
        <w:tc>
          <w:tcPr/>
          <w:p>
            <w:pPr>
              <w:pStyle w:val="Compact"/>
              <w:jc w:val="left"/>
            </w:pPr>
            <w:r>
              <w:t xml:space="preserve">12 months</w:t>
            </w:r>
          </w:p>
        </w:tc>
        <w:tc>
          <w:tcPr/>
          <w:p>
            <w:pPr>
              <w:pStyle w:val="Compact"/>
              <w:jc w:val="left"/>
            </w:pPr>
            <w:r>
              <w:t xml:space="preserve">$3,400.00</w:t>
            </w:r>
          </w:p>
        </w:tc>
        <w:tc>
          <w:tcPr/>
          <w:p>
            <w:pPr>
              <w:pStyle w:val="Compact"/>
              <w:jc w:val="left"/>
            </w:pPr>
            <w:r>
              <w:t xml:space="preserve">$40,800.00</w:t>
            </w:r>
          </w:p>
        </w:tc>
        <w:tc>
          <w:tcPr/>
          <w:p>
            <w:pPr>
              <w:pStyle w:val="Compact"/>
              <w:jc w:val="left"/>
            </w:pPr>
            <w:r>
              <w:t xml:space="preserve">Monthly</w:t>
            </w:r>
          </w:p>
        </w:tc>
      </w:tr>
      <w:tr>
        <w:tc>
          <w:tcPr/>
          <w:p>
            <w:pPr>
              <w:pStyle w:val="Compact"/>
              <w:jc w:val="left"/>
            </w:pPr>
            <w:r>
              <w:t xml:space="preserve">09</w:t>
            </w:r>
          </w:p>
        </w:tc>
        <w:tc>
          <w:tcPr/>
          <w:p>
            <w:pPr>
              <w:pStyle w:val="Compact"/>
              <w:jc w:val="left"/>
            </w:pPr>
            <w:r>
              <w:t xml:space="preserve">Software licenses and tools (Nagios, Wireshark Pro, VMware vSphere Standard – 12-month subscription)</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c>
          <w:tcPr/>
          <w:p>
            <w:pPr>
              <w:pStyle w:val="Compact"/>
              <w:jc w:val="left"/>
            </w:pPr>
            <w:r>
              <w:t xml:space="preserve">One-time</w:t>
            </w:r>
          </w:p>
        </w:tc>
      </w:tr>
      <w:tr>
        <w:tc>
          <w:tcPr/>
          <w:p>
            <w:pPr>
              <w:pStyle w:val="Compact"/>
              <w:jc w:val="left"/>
            </w:pPr>
            <w:r>
              <w:t xml:space="preserve">10</w:t>
            </w:r>
          </w:p>
        </w:tc>
        <w:tc>
          <w:tcPr/>
          <w:p>
            <w:pPr>
              <w:pStyle w:val="Compact"/>
              <w:jc w:val="left"/>
            </w:pPr>
            <w:r>
              <w:t xml:space="preserve">Project management and coordination overhead (dedicated PM, weekly status reports, monthly steering committee)</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c>
          <w:tcPr/>
          <w:p>
            <w:pPr>
              <w:pStyle w:val="Compact"/>
              <w:jc w:val="left"/>
            </w:pPr>
            <w:r>
              <w:t xml:space="preserve">Monthly</w:t>
            </w:r>
          </w:p>
        </w:tc>
      </w:tr>
      <w:tr>
        <w:tc>
          <w:tcPr>
            <w:gridSpan w:val="4"/>
          </w:tcPr>
          <w:p>
            <w:pPr>
              <w:pStyle w:val="Compact"/>
              <w:jc w:val="left"/>
            </w:pPr>
            <w:r>
              <w:t xml:space="preserve">SUBTOTAL (before taxes)</w:t>
            </w:r>
          </w:p>
        </w:tc>
        <w:tc>
          <w:tcPr/>
          <w:p>
            <w:pPr>
              <w:pStyle w:val="Compact"/>
              <w:jc w:val="left"/>
            </w:pPr>
            <w:r>
              <w:t xml:space="preserve">$1,170,300.00</w:t>
            </w:r>
          </w:p>
        </w:tc>
        <w:tc>
          <w:tcPr/>
          <w:p>
            <w:pPr>
              <w:pStyle w:val="Compact"/>
            </w:pPr>
          </w:p>
        </w:tc>
      </w:tr>
      <w:tr>
        <w:tc>
          <w:tcPr>
            <w:gridSpan w:val="4"/>
          </w:tcPr>
          <w:p>
            <w:pPr>
              <w:pStyle w:val="Compact"/>
              <w:jc w:val="left"/>
            </w:pPr>
            <w:r>
              <w:t xml:space="preserve">IVA (16% – Impuesto al Valor Agregado)</w:t>
            </w:r>
          </w:p>
        </w:tc>
        <w:tc>
          <w:tcPr/>
          <w:p>
            <w:pPr>
              <w:pStyle w:val="Compact"/>
              <w:jc w:val="left"/>
            </w:pPr>
            <w:r>
              <w:t xml:space="preserve">$187,248.00</w:t>
            </w:r>
          </w:p>
        </w:tc>
        <w:tc>
          <w:tcPr/>
          <w:p>
            <w:pPr>
              <w:pStyle w:val="Compact"/>
            </w:pPr>
          </w:p>
        </w:tc>
      </w:tr>
      <w:tr>
        <w:tc>
          <w:tcPr>
            <w:gridSpan w:val="4"/>
          </w:tcPr>
          <w:p>
            <w:pPr>
              <w:pStyle w:val="Compact"/>
              <w:jc w:val="left"/>
            </w:pPr>
            <w:r>
              <w:t xml:space="preserve">TOTAL AMOUNT DUE (MXN)</w:t>
            </w:r>
          </w:p>
        </w:tc>
        <w:tc>
          <w:tcPr/>
          <w:p>
            <w:pPr>
              <w:pStyle w:val="Compact"/>
              <w:jc w:val="left"/>
            </w:pPr>
            <w:r>
              <w:t xml:space="preserve">$1,357,548.00</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all pricing is subject to revision based on current market conditions in</w:t>
      </w:r>
      <w:r>
        <w:t xml:space="preserve"> </w:t>
      </w:r>
      <w:r>
        <w:t xml:space="preserve">Mexico Mexico City</w:t>
      </w:r>
      <w:r>
        <w:t xml:space="preserve"> </w:t>
      </w:r>
      <w:r>
        <w:t xml:space="preserve">and applicable exchange rate fluctuations.</w:t>
      </w:r>
    </w:p>
    <w:p>
      <w:pPr>
        <w:numPr>
          <w:ilvl w:val="0"/>
          <w:numId w:val="1001"/>
        </w:numPr>
        <w:pStyle w:val="Compact"/>
      </w:pPr>
      <w:r>
        <w:rPr>
          <w:bCs/>
          <w:b/>
        </w:rPr>
        <w:t xml:space="preserve">Payment Terms:</w:t>
      </w:r>
      <w:r>
        <w:t xml:space="preserve"> </w:t>
      </w:r>
      <w:r>
        <w:t xml:space="preserve">Payment shall be made within fifteen (15) business days from the date of invoice issuance. The client may opt for a 30% advance payment upon contract signing, with the remaining balance invoiced monthly in arrears. All payments shall be made in Mexican Pesos (MXN) via bank transfer to the account designated by TechNova Solutions de México, S.A. de C.V.</w:t>
      </w:r>
    </w:p>
    <w:p>
      <w:pPr>
        <w:numPr>
          <w:ilvl w:val="0"/>
          <w:numId w:val="1001"/>
        </w:numPr>
        <w:pStyle w:val="Compact"/>
      </w:pPr>
      <w:r>
        <w:rPr>
          <w:bCs/>
          <w:b/>
        </w:rPr>
        <w:t xml:space="preserve">Tax Compliance:</w:t>
      </w:r>
      <w:r>
        <w:t xml:space="preserve"> </w:t>
      </w:r>
      <w:r>
        <w:t xml:space="preserve">All amounts are subject to the 16% IVA as mandated by the SAT. A CFDI (Comprobante Fiscal Digital por Internet) invoice will be issued for each payment transaction in compliance with Mexican tax law. The</w:t>
      </w:r>
      <w:r>
        <w:t xml:space="preserve"> </w:t>
      </w:r>
      <w:r>
        <w:t xml:space="preserve">Systems Engineer</w:t>
      </w:r>
      <w:r>
        <w:t xml:space="preserve"> </w:t>
      </w:r>
      <w:r>
        <w:t xml:space="preserve">services are classified under the applicable SAT tariff code for professional IT consulting.</w:t>
      </w:r>
    </w:p>
    <w:p>
      <w:pPr>
        <w:numPr>
          <w:ilvl w:val="0"/>
          <w:numId w:val="1001"/>
        </w:numPr>
        <w:pStyle w:val="Compact"/>
      </w:pPr>
      <w:r>
        <w:rPr>
          <w:bCs/>
          <w:b/>
        </w:rPr>
        <w:t xml:space="preserve">Work Location:</w:t>
      </w:r>
      <w:r>
        <w:t xml:space="preserve"> </w:t>
      </w:r>
      <w:r>
        <w:t xml:space="preserve">All on-site services shall be performed at the client's designated facility in</w:t>
      </w:r>
      <w:r>
        <w:t xml:space="preserve"> </w:t>
      </w:r>
      <w:r>
        <w:t xml:space="preserve">Mexico Mexico City</w:t>
      </w:r>
      <w:r>
        <w:t xml:space="preserve">. Any travel outside the Mexico City metropolitan area (including but not limited to Estado de México, Querétaro, or Guadalajara) will be billed separately at a rate of $2,500 MXN per day plus actual transportation costs.</w:t>
      </w:r>
    </w:p>
    <w:p>
      <w:pPr>
        <w:numPr>
          <w:ilvl w:val="0"/>
          <w:numId w:val="1001"/>
        </w:numPr>
        <w:pStyle w:val="Compact"/>
      </w:pPr>
      <w:r>
        <w:rPr>
          <w:bCs/>
          <w:b/>
        </w:rPr>
        <w:t xml:space="preserve">Intellectual Property:</w:t>
      </w:r>
      <w:r>
        <w:t xml:space="preserve"> </w:t>
      </w:r>
      <w:r>
        <w:t xml:space="preserve">All documentation, diagrams, and deliverables produced by the</w:t>
      </w:r>
      <w:r>
        <w:t xml:space="preserve"> </w:t>
      </w:r>
      <w:r>
        <w:t xml:space="preserve">Systems Engineer</w:t>
      </w:r>
      <w:r>
        <w:t xml:space="preserve"> </w:t>
      </w:r>
      <w:r>
        <w:t xml:space="preserve">during the course of this engagement shall become the exclusive property of the client upon full payment of the corresponding invoice.</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system architectures, and business data encountered during the engagement. A separate Non-Disclosure Agreement (NDA) shall be executed prior to the commencement of work.</w:t>
      </w:r>
    </w:p>
    <w:p>
      <w:pPr>
        <w:numPr>
          <w:ilvl w:val="0"/>
          <w:numId w:val="1001"/>
        </w:numPr>
        <w:pStyle w:val="Compact"/>
      </w:pPr>
      <w:r>
        <w:rPr>
          <w:bCs/>
          <w:b/>
        </w:rPr>
        <w:t xml:space="preserve">Termination:</w:t>
      </w:r>
      <w:r>
        <w:t xml:space="preserve"> </w:t>
      </w:r>
      <w:r>
        <w:t xml:space="preserve">Either party may terminate this agreement with sixty (60) days' written notice. In the event of early termination, the client shall be liable for all services rendered up to the termination date plus a 10% administrative fee on the remaining contract value.</w:t>
      </w:r>
    </w:p>
    <w:p>
      <w:pPr>
        <w:numPr>
          <w:ilvl w:val="0"/>
          <w:numId w:val="1001"/>
        </w:numPr>
        <w:pStyle w:val="Compact"/>
      </w:pPr>
      <w:r>
        <w:rPr>
          <w:bCs/>
          <w:b/>
        </w:rPr>
        <w:t xml:space="preserve">Warranty:</w:t>
      </w:r>
      <w:r>
        <w:t xml:space="preserve"> </w:t>
      </w:r>
      <w:r>
        <w:t xml:space="preserve">All implementation work performed by the</w:t>
      </w:r>
      <w:r>
        <w:t xml:space="preserve"> </w:t>
      </w:r>
      <w:r>
        <w:t xml:space="preserve">Systems Engineer</w:t>
      </w:r>
      <w:r>
        <w:t xml:space="preserve"> </w:t>
      </w:r>
      <w:r>
        <w:t xml:space="preserve">carries a ninety (90) day warranty period from the date of final acceptance. During this period, any defects in workmanship shall be corrected at no additional cost.</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interpreted in accordance with the Commercial Code of the United Mexican States and the civil laws applicable in the jurisdiction of</w:t>
      </w:r>
      <w:r>
        <w:t xml:space="preserve"> </w:t>
      </w:r>
      <w:r>
        <w:t xml:space="preserve">Mexico Mexico City</w:t>
      </w:r>
      <w:r>
        <w:t xml:space="preserve">, Federal District (now Mexico City, CDMX).</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Systems Engineer</w:t>
      </w:r>
      <w:r>
        <w:t xml:space="preserve"> </w:t>
      </w:r>
      <w:r>
        <w:t xml:space="preserve">at the specified location in</w:t>
      </w:r>
      <w:r>
        <w:t xml:space="preserve"> </w:t>
      </w:r>
      <w:r>
        <w:t xml:space="preserve">Mexico Mexico City</w:t>
      </w:r>
      <w:r>
        <w:t xml:space="preserve">. This signature constitutes a binding acceptance and authorizes TechNova Solutions de México, S.A. de C.V. to proceed with the mobilization of resources.</w:t>
      </w:r>
    </w:p>
    <w:p>
      <w:pPr>
        <w:pStyle w:val="BodyText"/>
      </w:pPr>
      <w:r>
        <w:rPr>
          <w:bCs/>
          <w:b/>
        </w:rPr>
        <w:t xml:space="preserve">For: TechNova Solutions de México, S.A. de C.V.</w:t>
      </w:r>
      <w:r>
        <w:br/>
      </w:r>
      <w:r>
        <w:t xml:space="preserve">Name: Ing. Carlos Mendoza Ríos</w:t>
      </w:r>
      <w:r>
        <w:br/>
      </w:r>
      <w:r>
        <w:t xml:space="preserve">Title: Senior Account Manager</w:t>
      </w:r>
      <w:r>
        <w:br/>
      </w:r>
      <w:r>
        <w:t xml:space="preserve">Date: ______________________</w:t>
      </w:r>
    </w:p>
    <w:p>
      <w:pPr>
        <w:pStyle w:val="BodyText"/>
      </w:pPr>
      <w:r>
        <w:rPr>
          <w:bCs/>
          <w:b/>
        </w:rPr>
        <w:t xml:space="preserve">For: Grupo Industrial del Valle, S.A. de C.V.</w:t>
      </w:r>
      <w:r>
        <w:br/>
      </w:r>
      <w:r>
        <w:t xml:space="preserve">Name: ______________________</w:t>
      </w:r>
      <w:r>
        <w:br/>
      </w:r>
      <w:r>
        <w:t xml:space="preserve">Title: ______________________</w:t>
      </w:r>
      <w:r>
        <w:br/>
      </w:r>
      <w:r>
        <w:t xml:space="preserve">Date: ______________________</w:t>
      </w:r>
    </w:p>
    <w:p>
      <w:pPr>
        <w:pStyle w:val="BodyText"/>
      </w:pPr>
      <w:r>
        <w:t xml:space="preserve">This Quotation Estimate document was generated electronically and is valid without a physical seal. Document ID: QTE-2025-MMC-00847 | Page 1 of 1</w:t>
      </w:r>
    </w:p>
    <w:p>
      <w:pPr>
        <w:pStyle w:val="BodyText"/>
      </w:pPr>
      <w:r>
        <w:t xml:space="preserve">TechNova Solutions de México, S.A. de C.V. – Registered in the Public Registry of Commerce of Mexico Mexico City, Folio 48291, Book 12, Section A, dated March 14, 2018.</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Mexico Mexico City</dc:title>
  <dc:creator/>
  <dc:language>en</dc:language>
  <cp:keywords/>
  <dcterms:created xsi:type="dcterms:W3CDTF">2026-10-10T03:35:01Z</dcterms:created>
  <dcterms:modified xsi:type="dcterms:W3CDTF">2026-10-10T03:35:01Z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