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technobridge-solutions-llc"/>
    <w:p>
      <w:pPr>
        <w:pStyle w:val="Heading1"/>
      </w:pPr>
      <w:r>
        <w:t xml:space="preserve">TechnoBridge Solutions LLC</w:t>
      </w:r>
    </w:p>
    <w:p>
      <w:pPr>
        <w:pStyle w:val="FirstParagraph"/>
      </w:pPr>
      <w:r>
        <w:t xml:space="preserve">12 Nevsky Prospekt, Building 4, Office 210, Saint Petersburg, 191025, Russian Federation</w:t>
      </w:r>
    </w:p>
    <w:p>
      <w:pPr>
        <w:pStyle w:val="BodyText"/>
      </w:pPr>
      <w:r>
        <w:t xml:space="preserve">Tel: +7 (812) 555-0147  |  Email: estimates@technobridge-ru.com  |  INN: 7810456789</w:t>
      </w:r>
    </w:p>
    <w:bookmarkEnd w:id="20"/>
    <w:p>
      <w:pPr>
        <w:pStyle w:val="BodyText"/>
      </w:pPr>
      <w:r>
        <w:t xml:space="preserve">Quotation Estimate</w:t>
      </w:r>
    </w:p>
    <w:bookmarkStart w:id="21" w:name="quotation-reference"/>
    <w:p>
      <w:pPr>
        <w:pStyle w:val="Heading3"/>
      </w:pPr>
      <w:r>
        <w:t xml:space="preserve">Quotation Reference</w:t>
      </w:r>
    </w:p>
    <w:p>
      <w:pPr>
        <w:pStyle w:val="FirstParagraph"/>
      </w:pPr>
      <w:r>
        <w:t xml:space="preserve">QTE-2025-SPB-0472</w:t>
      </w:r>
    </w:p>
    <w:p>
      <w:pPr>
        <w:pStyle w:val="BodyText"/>
      </w:pPr>
      <w:r>
        <w:t xml:space="preserve">Date of Issue: 14 June 2025</w:t>
      </w:r>
    </w:p>
    <w:p>
      <w:pPr>
        <w:pStyle w:val="BodyText"/>
      </w:pPr>
      <w:r>
        <w:t xml:space="preserve">Valid Until: 14 July 2025</w:t>
      </w:r>
    </w:p>
    <w:bookmarkEnd w:id="21"/>
    <w:bookmarkStart w:id="22" w:name="prepared-for"/>
    <w:p>
      <w:pPr>
        <w:pStyle w:val="Heading3"/>
      </w:pPr>
      <w:r>
        <w:t xml:space="preserve">Prepared For</w:t>
      </w:r>
    </w:p>
    <w:p>
      <w:pPr>
        <w:pStyle w:val="FirstParagraph"/>
      </w:pPr>
      <w:r>
        <w:t xml:space="preserve">Client: Vsevolod Industrial Group JSC</w:t>
      </w:r>
    </w:p>
    <w:p>
      <w:pPr>
        <w:pStyle w:val="BodyText"/>
      </w:pPr>
      <w:r>
        <w:t xml:space="preserve">Address: 45 Liteyny Avenue, Saint Petersburg, 191011, Russia</w:t>
      </w:r>
    </w:p>
    <w:p>
      <w:pPr>
        <w:pStyle w:val="BodyText"/>
      </w:pPr>
      <w:r>
        <w:t xml:space="preserve">Attention: Mr. Dmitry Kovalenko, Chief Technology Officer</w:t>
      </w:r>
    </w:p>
    <w:bookmarkEnd w:id="22"/>
    <w:p>
      <w:pPr>
        <w:pStyle w:val="BodyText"/>
      </w:pPr>
      <w:r>
        <w:t xml:space="preserve">This</w:t>
      </w:r>
      <w:r>
        <w:t xml:space="preserve"> </w:t>
      </w:r>
      <w:r>
        <w:t xml:space="preserve">Quotation Estimate</w:t>
      </w:r>
      <w:r>
        <w:t xml:space="preserve"> </w:t>
      </w:r>
      <w:r>
        <w:t xml:space="preserve">is issued by TechnoBridge Solutions LLC in response to the formal request for professional services submitted by Vsevolod Industrial Group JSC. The scope of work described herein pertains to the engagement of a senior</w:t>
      </w:r>
      <w:r>
        <w:t xml:space="preserve"> </w:t>
      </w:r>
      <w:r>
        <w:t xml:space="preserve">Systems Engineer</w:t>
      </w:r>
      <w:r>
        <w:t xml:space="preserve"> </w:t>
      </w:r>
      <w:r>
        <w:t xml:space="preserve">to be deployed and operational within the</w:t>
      </w:r>
      <w:r>
        <w:t xml:space="preserve"> </w:t>
      </w:r>
      <w:r>
        <w:t xml:space="preserve">Russia Saint Petersburg</w:t>
      </w:r>
      <w:r>
        <w:t xml:space="preserve"> </w:t>
      </w:r>
      <w:r>
        <w:t xml:space="preserve">metropolitan area. All pricing, deliverables, and conditions outlined in this document are binding upon mutual acceptance and execution of the accompanying service agreement.</w:t>
      </w:r>
    </w:p>
    <w:bookmarkStart w:id="23" w:name="scope-of-work-systems-engineer-services"/>
    <w:p>
      <w:pPr>
        <w:pStyle w:val="Heading2"/>
      </w:pPr>
      <w:r>
        <w:t xml:space="preserve">1. Scope of Work – Systems Engineer Services</w:t>
      </w:r>
    </w:p>
    <w:p>
      <w:pPr>
        <w:pStyle w:val="FirstParagraph"/>
      </w:pPr>
      <w:r>
        <w:t xml:space="preserve">The</w:t>
      </w:r>
      <w:r>
        <w:t xml:space="preserve"> </w:t>
      </w:r>
      <w:r>
        <w:t xml:space="preserve">Systems Engineer</w:t>
      </w:r>
      <w:r>
        <w:t xml:space="preserve"> </w:t>
      </w:r>
      <w:r>
        <w:t xml:space="preserve">engaged under this</w:t>
      </w:r>
      <w:r>
        <w:t xml:space="preserve"> </w:t>
      </w:r>
      <w:r>
        <w:t xml:space="preserve">Quotation Estimate</w:t>
      </w:r>
      <w:r>
        <w:t xml:space="preserve"> </w:t>
      </w:r>
      <w:r>
        <w:t xml:space="preserve">shall be responsible for the full lifecycle management of the client's enterprise IT infrastructure located at the primary facility in</w:t>
      </w:r>
      <w:r>
        <w:t xml:space="preserve"> </w:t>
      </w:r>
      <w:r>
        <w:t xml:space="preserve">Russia Saint Petersburg</w:t>
      </w:r>
      <w:r>
        <w:t xml:space="preserve">. The role encompasses the following core responsibilities:</w:t>
      </w:r>
    </w:p>
    <w:p>
      <w:pPr>
        <w:numPr>
          <w:ilvl w:val="0"/>
          <w:numId w:val="1001"/>
        </w:numPr>
        <w:pStyle w:val="Compact"/>
      </w:pPr>
      <w:r>
        <w:t xml:space="preserve">Design, deployment, and ongoing maintenance of server infrastructure, including physical and virtualized environments (VMware vSphere, Microsoft Hyper-V) housing critical industrial control systems.</w:t>
      </w:r>
    </w:p>
    <w:p>
      <w:pPr>
        <w:numPr>
          <w:ilvl w:val="0"/>
          <w:numId w:val="1001"/>
        </w:numPr>
        <w:pStyle w:val="Compact"/>
      </w:pPr>
      <w:r>
        <w:t xml:space="preserve">Configuration and optimization of network architecture spanning the client's three operational sites within the</w:t>
      </w:r>
      <w:r>
        <w:t xml:space="preserve"> </w:t>
      </w:r>
      <w:r>
        <w:t xml:space="preserve">Russia Saint Petersburg</w:t>
      </w:r>
      <w:r>
        <w:t xml:space="preserve"> </w:t>
      </w:r>
      <w:r>
        <w:t xml:space="preserve">region, ensuring redundant connectivity and compliance with Russian Federal Law No. 152-FZ on personal data protection.</w:t>
      </w:r>
    </w:p>
    <w:p>
      <w:pPr>
        <w:numPr>
          <w:ilvl w:val="0"/>
          <w:numId w:val="1001"/>
        </w:numPr>
        <w:pStyle w:val="Compact"/>
      </w:pPr>
      <w:r>
        <w:t xml:space="preserve">Implementation and management of enterprise storage solutions, backup systems, and disaster recovery protocols tailored to the operational requirements of the</w:t>
      </w:r>
      <w:r>
        <w:t xml:space="preserve"> </w:t>
      </w:r>
      <w:r>
        <w:t xml:space="preserve">Russia Saint Petersburg</w:t>
      </w:r>
      <w:r>
        <w:t xml:space="preserve"> </w:t>
      </w:r>
      <w:r>
        <w:t xml:space="preserve">manufacturing plant.</w:t>
      </w:r>
    </w:p>
    <w:p>
      <w:pPr>
        <w:numPr>
          <w:ilvl w:val="0"/>
          <w:numId w:val="1001"/>
        </w:numPr>
        <w:pStyle w:val="Compact"/>
      </w:pPr>
      <w:r>
        <w:t xml:space="preserve">Provisioning, patching, and security hardening of Windows Server, Linux (RHEL, Ubuntu), and embedded operating systems across the production floor and administrative networks.</w:t>
      </w:r>
    </w:p>
    <w:p>
      <w:pPr>
        <w:numPr>
          <w:ilvl w:val="0"/>
          <w:numId w:val="1001"/>
        </w:numPr>
        <w:pStyle w:val="Compact"/>
      </w:pPr>
      <w:r>
        <w:t xml:space="preserve">Integration of the</w:t>
      </w:r>
      <w:r>
        <w:t xml:space="preserve"> </w:t>
      </w:r>
      <w:r>
        <w:t xml:space="preserve">Systems Engineer</w:t>
      </w:r>
      <w:r>
        <w:t xml:space="preserve">'s work with existing SCADA and PLC systems to ensure seamless data flow between the operational technology layer and the enterprise IT layer.</w:t>
      </w:r>
    </w:p>
    <w:p>
      <w:pPr>
        <w:numPr>
          <w:ilvl w:val="0"/>
          <w:numId w:val="1001"/>
        </w:numPr>
        <w:pStyle w:val="Compact"/>
      </w:pPr>
      <w:r>
        <w:t xml:space="preserve">Preparation of technical documentation, runbooks, and incident response plans in both English and Russian to support the bilingual operations team in</w:t>
      </w:r>
      <w:r>
        <w:t xml:space="preserve"> </w:t>
      </w:r>
      <w:r>
        <w:t xml:space="preserve">Russia Saint Petersburg</w:t>
      </w:r>
      <w:r>
        <w:t xml:space="preserve">.</w:t>
      </w:r>
    </w:p>
    <w:p>
      <w:pPr>
        <w:numPr>
          <w:ilvl w:val="0"/>
          <w:numId w:val="1001"/>
        </w:numPr>
        <w:pStyle w:val="Compact"/>
      </w:pPr>
      <w:r>
        <w:t xml:space="preserve">Monthly performance reviews, capacity planning, and strategic advisory sessions with the client's CTO and IT management.</w:t>
      </w:r>
    </w:p>
    <w:bookmarkEnd w:id="23"/>
    <w:bookmarkStart w:id="24" w:name="quotation-estimate-itemized-costs"/>
    <w:p>
      <w:pPr>
        <w:pStyle w:val="Heading2"/>
      </w:pPr>
      <w:r>
        <w:t xml:space="preserve">2. Quotation Estimate – Itemized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(RUB)</w:t>
            </w:r>
          </w:p>
        </w:tc>
        <w:tc>
          <w:tcPr/>
          <w:p>
            <w:pPr>
              <w:pStyle w:val="Compact"/>
              <w:jc w:val="left"/>
            </w:pPr>
            <w:r>
              <w:t xml:space="preserve">Amount (RUB)</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w:t>
            </w:r>
            <w:r>
              <w:t xml:space="preserve"> </w:t>
            </w:r>
            <w:r>
              <w:t xml:space="preserve">Systems Engineer</w:t>
            </w:r>
            <w:r>
              <w:t xml:space="preserve"> </w:t>
            </w:r>
            <w:r>
              <w:t xml:space="preserve">– Monthly Professional Fee (full-time, 40 hrs/week, on-site in</w:t>
            </w:r>
            <w:r>
              <w:t xml:space="preserve"> </w:t>
            </w:r>
            <w:r>
              <w:t xml:space="preserve">Russia Saint Petersburg</w:t>
            </w:r>
            <w:r>
              <w:t xml:space="preserve">)</w:t>
            </w:r>
          </w:p>
        </w:tc>
        <w:tc>
          <w:tcPr/>
          <w:p>
            <w:pPr>
              <w:pStyle w:val="Compact"/>
              <w:jc w:val="left"/>
            </w:pPr>
            <w:r>
              <w:t xml:space="preserve">12 months</w:t>
            </w:r>
          </w:p>
        </w:tc>
        <w:tc>
          <w:tcPr/>
          <w:p>
            <w:pPr>
              <w:pStyle w:val="Compact"/>
              <w:jc w:val="left"/>
            </w:pPr>
            <w:r>
              <w:t xml:space="preserve">385,000</w:t>
            </w:r>
          </w:p>
        </w:tc>
        <w:tc>
          <w:tcPr/>
          <w:p>
            <w:pPr>
              <w:pStyle w:val="Compact"/>
              <w:jc w:val="left"/>
            </w:pPr>
            <w:r>
              <w:t xml:space="preserve">4,620,000</w:t>
            </w:r>
          </w:p>
        </w:tc>
        <w:tc>
          <w:tcPr/>
          <w:p>
            <w:pPr>
              <w:pStyle w:val="Compact"/>
              <w:jc w:val="left"/>
            </w:pPr>
            <w:r>
              <w:t xml:space="preserve">Jan 2026 – Dec 2026</w:t>
            </w:r>
          </w:p>
        </w:tc>
      </w:tr>
      <w:tr>
        <w:tc>
          <w:tcPr/>
          <w:p>
            <w:pPr>
              <w:pStyle w:val="Compact"/>
              <w:jc w:val="left"/>
            </w:pPr>
            <w:r>
              <w:t xml:space="preserve">2</w:t>
            </w:r>
          </w:p>
        </w:tc>
        <w:tc>
          <w:tcPr/>
          <w:p>
            <w:pPr>
              <w:pStyle w:val="Compact"/>
              <w:jc w:val="left"/>
            </w:pPr>
            <w:r>
              <w:t xml:space="preserve">Initial Infrastructure Audit &amp; Assessment Report (one-time deliverable,</w:t>
            </w:r>
            <w:r>
              <w:t xml:space="preserve"> </w:t>
            </w:r>
            <w:r>
              <w:t xml:space="preserve">Russia Saint Petersburg</w:t>
            </w:r>
            <w:r>
              <w:t xml:space="preserve"> </w:t>
            </w:r>
            <w:r>
              <w:t xml:space="preserve">site)</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Week 1–2</w:t>
            </w:r>
          </w:p>
        </w:tc>
      </w:tr>
      <w:tr>
        <w:tc>
          <w:tcPr/>
          <w:p>
            <w:pPr>
              <w:pStyle w:val="Compact"/>
              <w:jc w:val="left"/>
            </w:pPr>
            <w:r>
              <w:t xml:space="preserve">3</w:t>
            </w:r>
          </w:p>
        </w:tc>
        <w:tc>
          <w:tcPr/>
          <w:p>
            <w:pPr>
              <w:pStyle w:val="Compact"/>
              <w:jc w:val="left"/>
            </w:pPr>
            <w:r>
              <w:t xml:space="preserve">Network Redundancy Upgrade – Hardware Procurement &amp; Installation (switches, firewalls, UPS units for</w:t>
            </w:r>
            <w:r>
              <w:t xml:space="preserve"> </w:t>
            </w:r>
            <w:r>
              <w:t xml:space="preserve">Russia Saint Petersburg</w:t>
            </w:r>
            <w:r>
              <w:t xml:space="preserve"> </w:t>
            </w:r>
            <w:r>
              <w:t xml:space="preserve">facility)</w:t>
            </w:r>
          </w:p>
        </w:tc>
        <w:tc>
          <w:tcPr/>
          <w:p>
            <w:pPr>
              <w:pStyle w:val="Compact"/>
              <w:jc w:val="left"/>
            </w:pPr>
            <w:r>
              <w:t xml:space="preserve">1 lot</w:t>
            </w:r>
          </w:p>
        </w:tc>
        <w:tc>
          <w:tcPr/>
          <w:p>
            <w:pPr>
              <w:pStyle w:val="Compact"/>
              <w:jc w:val="left"/>
            </w:pPr>
            <w:r>
              <w:t xml:space="preserve">1,240,000</w:t>
            </w:r>
          </w:p>
        </w:tc>
        <w:tc>
          <w:tcPr/>
          <w:p>
            <w:pPr>
              <w:pStyle w:val="Compact"/>
              <w:jc w:val="left"/>
            </w:pPr>
            <w:r>
              <w:t xml:space="preserve">1,240,000</w:t>
            </w:r>
          </w:p>
        </w:tc>
        <w:tc>
          <w:tcPr/>
          <w:p>
            <w:pPr>
              <w:pStyle w:val="Compact"/>
              <w:jc w:val="left"/>
            </w:pPr>
            <w:r>
              <w:t xml:space="preserve">Week 3–6</w:t>
            </w:r>
          </w:p>
        </w:tc>
      </w:tr>
      <w:tr>
        <w:tc>
          <w:tcPr/>
          <w:p>
            <w:pPr>
              <w:pStyle w:val="Compact"/>
              <w:jc w:val="left"/>
            </w:pPr>
            <w:r>
              <w:t xml:space="preserve">4</w:t>
            </w:r>
          </w:p>
        </w:tc>
        <w:tc>
          <w:tcPr/>
          <w:p>
            <w:pPr>
              <w:pStyle w:val="Compact"/>
              <w:jc w:val="left"/>
            </w:pPr>
            <w:r>
              <w:t xml:space="preserve">Disaster Recovery Solution – Design, Implementation &amp; Testing (off-site DR node in Leningrad Oblast)</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Week 7–10</w:t>
            </w:r>
          </w:p>
        </w:tc>
      </w:tr>
      <w:tr>
        <w:tc>
          <w:tcPr/>
          <w:p>
            <w:pPr>
              <w:pStyle w:val="Compact"/>
              <w:jc w:val="left"/>
            </w:pPr>
            <w:r>
              <w:t xml:space="preserve">5</w:t>
            </w:r>
          </w:p>
        </w:tc>
        <w:tc>
          <w:tcPr/>
          <w:p>
            <w:pPr>
              <w:pStyle w:val="Compact"/>
              <w:jc w:val="left"/>
            </w:pPr>
            <w:r>
              <w:t xml:space="preserve">Security Compliance Audit – FSTEC &amp; FZ-152 Alignment (annual,</w:t>
            </w:r>
            <w:r>
              <w:t xml:space="preserve"> </w:t>
            </w:r>
            <w:r>
              <w:t xml:space="preserve">Systems Engineer</w:t>
            </w:r>
            <w:r>
              <w:t xml:space="preserve"> </w:t>
            </w:r>
            <w:r>
              <w:t xml:space="preserve">led)</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c>
          <w:tcPr/>
          <w:p>
            <w:pPr>
              <w:pStyle w:val="Compact"/>
              <w:jc w:val="left"/>
            </w:pPr>
            <w:r>
              <w:t xml:space="preserve">Quarterly</w:t>
            </w:r>
          </w:p>
        </w:tc>
      </w:tr>
      <w:tr>
        <w:tc>
          <w:tcPr/>
          <w:p>
            <w:pPr>
              <w:pStyle w:val="Compact"/>
              <w:jc w:val="left"/>
            </w:pPr>
            <w:r>
              <w:t xml:space="preserve">6</w:t>
            </w:r>
          </w:p>
        </w:tc>
        <w:tc>
          <w:tcPr/>
          <w:p>
            <w:pPr>
              <w:pStyle w:val="Compact"/>
              <w:jc w:val="left"/>
            </w:pPr>
            <w:r>
              <w:t xml:space="preserve">Technical Documentation Package – Bilingual (EN/RU) runbooks, architecture diagrams, SOPs</w:t>
            </w:r>
          </w:p>
        </w:tc>
        <w:tc>
          <w:tcPr/>
          <w:p>
            <w:pPr>
              <w:pStyle w:val="Compact"/>
              <w:jc w:val="left"/>
            </w:pPr>
            <w:r>
              <w:t xml:space="preserve">1 set</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Month 3</w:t>
            </w:r>
          </w:p>
        </w:tc>
      </w:tr>
      <w:tr>
        <w:tc>
          <w:tcPr/>
          <w:p>
            <w:pPr>
              <w:pStyle w:val="Compact"/>
              <w:jc w:val="left"/>
            </w:pPr>
            <w:r>
              <w:t xml:space="preserve">7</w:t>
            </w:r>
          </w:p>
        </w:tc>
        <w:tc>
          <w:tcPr/>
          <w:p>
            <w:pPr>
              <w:pStyle w:val="Compact"/>
              <w:jc w:val="left"/>
            </w:pPr>
            <w:r>
              <w:t xml:space="preserve">Travel &amp; Logistics –</w:t>
            </w:r>
            <w:r>
              <w:t xml:space="preserve"> </w:t>
            </w:r>
            <w:r>
              <w:t xml:space="preserve">Systems Engineer</w:t>
            </w:r>
            <w:r>
              <w:t xml:space="preserve"> </w:t>
            </w:r>
            <w:r>
              <w:t xml:space="preserve">commuting within</w:t>
            </w:r>
            <w:r>
              <w:t xml:space="preserve"> </w:t>
            </w:r>
            <w:r>
              <w:t xml:space="preserve">Russia Saint Petersburg</w:t>
            </w:r>
            <w:r>
              <w:t xml:space="preserve"> </w:t>
            </w:r>
            <w:r>
              <w:t xml:space="preserve">and Leningrad Oblast (monthly allowance)</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216,000</w:t>
            </w:r>
          </w:p>
        </w:tc>
        <w:tc>
          <w:tcPr/>
          <w:p>
            <w:pPr>
              <w:pStyle w:val="Compact"/>
              <w:jc w:val="left"/>
            </w:pPr>
            <w:r>
              <w:t xml:space="preserve">Monthly</w:t>
            </w:r>
          </w:p>
        </w:tc>
      </w:tr>
      <w:tr>
        <w:tc>
          <w:tcPr/>
          <w:p>
            <w:pPr>
              <w:pStyle w:val="Compact"/>
              <w:jc w:val="left"/>
            </w:pPr>
            <w:r>
              <w:t xml:space="preserve">8</w:t>
            </w:r>
          </w:p>
        </w:tc>
        <w:tc>
          <w:tcPr/>
          <w:p>
            <w:pPr>
              <w:pStyle w:val="Compact"/>
              <w:jc w:val="left"/>
            </w:pPr>
            <w:r>
              <w:t xml:space="preserve">Contingency &amp; Unforeseen Technical Support (capped at 5% of subtotal)</w:t>
            </w:r>
          </w:p>
        </w:tc>
        <w:tc>
          <w:tcPr/>
          <w:p>
            <w:pPr>
              <w:pStyle w:val="Compact"/>
              <w:jc w:val="left"/>
            </w:pPr>
            <w:r>
              <w:t xml:space="preserve">1</w:t>
            </w:r>
          </w:p>
        </w:tc>
        <w:tc>
          <w:tcPr/>
          <w:p>
            <w:pPr>
              <w:pStyle w:val="Compact"/>
              <w:jc w:val="left"/>
            </w:pPr>
            <w:r>
              <w:t xml:space="preserve">—</w:t>
            </w:r>
          </w:p>
        </w:tc>
        <w:tc>
          <w:tcPr/>
          <w:p>
            <w:pPr>
              <w:pStyle w:val="Compact"/>
              <w:jc w:val="left"/>
            </w:pPr>
            <w:r>
              <w:t xml:space="preserve">356,000</w:t>
            </w:r>
          </w:p>
        </w:tc>
        <w:tc>
          <w:tcPr/>
          <w:p>
            <w:pPr>
              <w:pStyle w:val="Compact"/>
              <w:jc w:val="left"/>
            </w:pPr>
            <w:r>
              <w:t xml:space="preserve">As needed</w:t>
            </w:r>
          </w:p>
        </w:tc>
      </w:tr>
      <w:tr>
        <w:tc>
          <w:tcPr>
            <w:gridSpan w:val="4"/>
          </w:tcPr>
          <w:p>
            <w:pPr>
              <w:pStyle w:val="Compact"/>
              <w:jc w:val="right"/>
            </w:pPr>
            <w:r>
              <w:t xml:space="preserve">Subtotal (RUB)</w:t>
            </w:r>
          </w:p>
        </w:tc>
        <w:tc>
          <w:tcPr/>
          <w:p>
            <w:pPr>
              <w:pStyle w:val="Compact"/>
              <w:jc w:val="left"/>
            </w:pPr>
            <w:r>
              <w:t xml:space="preserve">7,542,000</w:t>
            </w:r>
          </w:p>
        </w:tc>
        <w:tc>
          <w:tcPr/>
          <w:p>
            <w:pPr>
              <w:pStyle w:val="Compact"/>
            </w:pPr>
          </w:p>
        </w:tc>
      </w:tr>
      <w:tr>
        <w:tc>
          <w:tcPr>
            <w:gridSpan w:val="4"/>
          </w:tcPr>
          <w:p>
            <w:pPr>
              <w:pStyle w:val="Compact"/>
              <w:jc w:val="right"/>
            </w:pPr>
            <w:r>
              <w:t xml:space="preserve">VAT 20% (RUB)</w:t>
            </w:r>
          </w:p>
        </w:tc>
        <w:tc>
          <w:tcPr/>
          <w:p>
            <w:pPr>
              <w:pStyle w:val="Compact"/>
              <w:jc w:val="left"/>
            </w:pPr>
            <w:r>
              <w:t xml:space="preserve">1,508,400</w:t>
            </w:r>
          </w:p>
        </w:tc>
        <w:tc>
          <w:tcPr/>
          <w:p>
            <w:pPr>
              <w:pStyle w:val="Compact"/>
            </w:pPr>
          </w:p>
        </w:tc>
      </w:tr>
      <w:tr>
        <w:tc>
          <w:tcPr>
            <w:gridSpan w:val="4"/>
          </w:tcPr>
          <w:p>
            <w:pPr>
              <w:pStyle w:val="Compact"/>
              <w:jc w:val="right"/>
            </w:pPr>
            <w:r>
              <w:t xml:space="preserve">TOTAL ESTIMATED COST (RUB)</w:t>
            </w:r>
          </w:p>
        </w:tc>
        <w:tc>
          <w:tcPr/>
          <w:p>
            <w:pPr>
              <w:pStyle w:val="Compact"/>
              <w:jc w:val="left"/>
            </w:pPr>
            <w:r>
              <w:t xml:space="preserve">9,050,400</w:t>
            </w:r>
          </w:p>
        </w:tc>
        <w:tc>
          <w:tcPr/>
          <w:p>
            <w:pPr>
              <w:pStyle w:val="Compact"/>
            </w:pPr>
          </w:p>
        </w:tc>
      </w:tr>
    </w:tbl>
    <w:bookmarkEnd w:id="24"/>
    <w:bookmarkStart w:id="25" w:name="terms-and-conditions"/>
    <w:p>
      <w:pPr>
        <w:pStyle w:val="Heading2"/>
      </w:pPr>
      <w:r>
        <w:t xml:space="preserve">3.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availability of the designated</w:t>
      </w:r>
      <w:r>
        <w:t xml:space="preserve"> </w:t>
      </w:r>
      <w:r>
        <w:t xml:space="preserve">Systems Engineer</w:t>
      </w:r>
      <w:r>
        <w:t xml:space="preserve"> </w:t>
      </w:r>
      <w:r>
        <w:t xml:space="preserve">are subject to re-evaluation.</w:t>
      </w:r>
    </w:p>
    <w:p>
      <w:pPr>
        <w:numPr>
          <w:ilvl w:val="0"/>
          <w:numId w:val="1002"/>
        </w:numPr>
        <w:pStyle w:val="Compact"/>
      </w:pPr>
      <w:r>
        <w:t xml:space="preserve">Payment terms: 30% advance upon contract signing, 40% upon completion of the infrastructure audit and network upgrade milestones, and 30% upon final acceptance of all deliverables. Invoices shall be issued in Russian Rubles (RUB) and settled via bank transfer to the account of TechnoBridge Solutions LLC, Sberbank, Saint Petersburg branch.</w:t>
      </w:r>
    </w:p>
    <w:p>
      <w:pPr>
        <w:numPr>
          <w:ilvl w:val="0"/>
          <w:numId w:val="1002"/>
        </w:numPr>
        <w:pStyle w:val="Compact"/>
      </w:pPr>
      <w:r>
        <w:t xml:space="preserve">The</w:t>
      </w:r>
      <w:r>
        <w:t xml:space="preserve"> </w:t>
      </w:r>
      <w:r>
        <w:t xml:space="preserve">Systems Engineer</w:t>
      </w:r>
      <w:r>
        <w:t xml:space="preserve"> </w:t>
      </w:r>
      <w:r>
        <w:t xml:space="preserve">shall operate in compliance with all applicable Russian Federation labor laws, data protection regulations (FZ-152), and FSTEC security requirements specific to the</w:t>
      </w:r>
      <w:r>
        <w:t xml:space="preserve"> </w:t>
      </w:r>
      <w:r>
        <w:t xml:space="preserve">Russia Saint Petersburg</w:t>
      </w:r>
      <w:r>
        <w:t xml:space="preserve"> </w:t>
      </w:r>
      <w:r>
        <w:t xml:space="preserve">jurisdiction.</w:t>
      </w:r>
    </w:p>
    <w:p>
      <w:pPr>
        <w:numPr>
          <w:ilvl w:val="0"/>
          <w:numId w:val="1002"/>
        </w:numPr>
        <w:pStyle w:val="Compact"/>
      </w:pPr>
      <w:r>
        <w:t xml:space="preserve">Any scope changes exceeding 10% of the original</w:t>
      </w:r>
      <w:r>
        <w:t xml:space="preserve"> </w:t>
      </w:r>
      <w:r>
        <w:t xml:space="preserve">Quotation Estimate</w:t>
      </w:r>
      <w:r>
        <w:t xml:space="preserve"> </w:t>
      </w:r>
      <w:r>
        <w:t xml:space="preserve">value must be documented in a formal Change Order signed by both parties before additional work commences.</w:t>
      </w:r>
    </w:p>
    <w:p>
      <w:pPr>
        <w:numPr>
          <w:ilvl w:val="0"/>
          <w:numId w:val="1002"/>
        </w:numPr>
        <w:pStyle w:val="Compact"/>
      </w:pPr>
      <w:r>
        <w:t xml:space="preserve">Intellectual property generated specifically for the client during the engagement shall be transferred to Vsevolod Industrial Group JSC upon full payment. Pre-existing methodologies, tools, and frameworks of TechnoBridge Solutions LLC remain the property of the service provider.</w:t>
      </w:r>
    </w:p>
    <w:p>
      <w:pPr>
        <w:numPr>
          <w:ilvl w:val="0"/>
          <w:numId w:val="1002"/>
        </w:numPr>
        <w:pStyle w:val="Compact"/>
      </w:pPr>
      <w:r>
        <w:t xml:space="preserve">Confidentiality: Both parties agree to a mutual Non-Disclosure Agreement (NDA) covering all technical, financial, and operational information exchanged in connection with this</w:t>
      </w:r>
      <w:r>
        <w:t xml:space="preserve"> </w:t>
      </w:r>
      <w:r>
        <w:t xml:space="preserve">Quotation Estimate</w:t>
      </w:r>
      <w:r>
        <w:t xml:space="preserve"> </w:t>
      </w:r>
      <w:r>
        <w:t xml:space="preserve">and the subsequent service delivery in</w:t>
      </w:r>
      <w:r>
        <w:t xml:space="preserve"> </w:t>
      </w:r>
      <w:r>
        <w:t xml:space="preserve">Russia Saint Petersburg</w:t>
      </w:r>
      <w:r>
        <w:t xml:space="preserve">.</w:t>
      </w:r>
    </w:p>
    <w:p>
      <w:pPr>
        <w:numPr>
          <w:ilvl w:val="0"/>
          <w:numId w:val="1002"/>
        </w:numPr>
        <w:pStyle w:val="Compact"/>
      </w:pPr>
      <w:r>
        <w:t xml:space="preserve">Force Majeure: Neither party shall be liable for delays or non-performance resulting from events beyond reasonable control, including but not limited to natural disasters, government sanctions, or civil unrest affecting the</w:t>
      </w:r>
      <w:r>
        <w:t xml:space="preserve"> </w:t>
      </w:r>
      <w:r>
        <w:t xml:space="preserve">Russia Saint Petersburg</w:t>
      </w:r>
      <w:r>
        <w:t xml:space="preserve"> </w:t>
      </w:r>
      <w:r>
        <w:t xml:space="preserve">region.</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accurately reflects the agreed-upon scope, pricing, and terms for the engagement of a</w:t>
      </w:r>
      <w:r>
        <w:t xml:space="preserve"> </w:t>
      </w:r>
      <w:r>
        <w:t xml:space="preserve">Systems Engineer</w:t>
      </w:r>
      <w:r>
        <w:t xml:space="preserve"> </w:t>
      </w:r>
      <w:r>
        <w:t xml:space="preserve">in</w:t>
      </w:r>
      <w:r>
        <w:t xml:space="preserve"> </w:t>
      </w:r>
      <w:r>
        <w:t xml:space="preserve">Russia Saint Petersburg</w:t>
      </w:r>
      <w:r>
        <w:t xml:space="preserve">. This document, once countersigned, constitutes a binding commercial offer and shall be incorporated into the master service agreement.</w:t>
      </w:r>
    </w:p>
    <w:p>
      <w:pPr>
        <w:pStyle w:val="BodyText"/>
      </w:pPr>
      <w:r>
        <w:rPr>
          <w:bCs/>
          <w:b/>
        </w:rPr>
        <w:t xml:space="preserve">For TechnoBridge Solutions LLC</w:t>
      </w:r>
    </w:p>
    <w:p>
      <w:pPr>
        <w:pStyle w:val="BodyText"/>
      </w:pPr>
      <w:r>
        <w:t xml:space="preserve">_______________________________</w:t>
      </w:r>
    </w:p>
    <w:p>
      <w:pPr>
        <w:pStyle w:val="BodyText"/>
      </w:pPr>
      <w:r>
        <w:t xml:space="preserve">Alexei Morozov, General Director</w:t>
      </w:r>
    </w:p>
    <w:p>
      <w:pPr>
        <w:pStyle w:val="BodyText"/>
      </w:pPr>
      <w:r>
        <w:t xml:space="preserve">Date: _______________</w:t>
      </w:r>
    </w:p>
    <w:p>
      <w:pPr>
        <w:pStyle w:val="BodyText"/>
      </w:pPr>
      <w:r>
        <w:rPr>
          <w:bCs/>
          <w:b/>
        </w:rPr>
        <w:t xml:space="preserve">For Vsevolod Industrial Group JSC</w:t>
      </w:r>
    </w:p>
    <w:p>
      <w:pPr>
        <w:pStyle w:val="BodyText"/>
      </w:pPr>
      <w:r>
        <w:t xml:space="preserve">_______________________________</w:t>
      </w:r>
    </w:p>
    <w:p>
      <w:pPr>
        <w:pStyle w:val="BodyText"/>
      </w:pPr>
      <w:r>
        <w:t xml:space="preserve">Dmitry Kovalenko, CTO</w:t>
      </w:r>
    </w:p>
    <w:p>
      <w:pPr>
        <w:pStyle w:val="BodyText"/>
      </w:pPr>
      <w:r>
        <w:t xml:space="preserve">Date: _______________</w:t>
      </w:r>
    </w:p>
    <w:p>
      <w:pPr>
        <w:pStyle w:val="BodyText"/>
      </w:pPr>
      <w:r>
        <w:t xml:space="preserve">TechnoBridge Solutions LLC  |  INN 7810456789  |  OGRN 1187847001234  |  Saint Petersburg, Russian Federation</w:t>
      </w:r>
    </w:p>
    <w:p>
      <w:pPr>
        <w:pStyle w:val="BodyText"/>
      </w:pPr>
      <w:r>
        <w:t xml:space="preserve">This Quotation Estimate was prepared exclusively for Vsevolod Industrial Group JSC and may not be reproduced or distributed without written consent. Document ID: QTE-2025-SPB-0472.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Russia Saint Petersburg</dc:title>
  <dc:creator/>
  <dc:language>en</dc:language>
  <cp:keywords/>
  <dcterms:created xsi:type="dcterms:W3CDTF">2026-10-10T07:00:25Z</dcterms:created>
  <dcterms:modified xsi:type="dcterms:W3CDTF">2026-10-10T07:00:25Z</dcterms:modified>
</cp:coreProperties>
</file>

<file path=docProps/custom.xml><?xml version="1.0" encoding="utf-8"?>
<Properties xmlns="http://schemas.openxmlformats.org/officeDocument/2006/custom-properties" xmlns:vt="http://schemas.openxmlformats.org/officeDocument/2006/docPropsVTypes"/>
</file>